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3A62C4" w:rsidRDefault="007D461F" w:rsidP="003A62C4">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3A62C4" w:rsidRDefault="00571298" w:rsidP="003A62C4">
      <w:pPr>
        <w:jc w:val="center"/>
        <w:rPr>
          <w:sz w:val="22"/>
          <w:szCs w:val="22"/>
        </w:rPr>
      </w:pPr>
      <w:r>
        <w:rPr>
          <w:b/>
          <w:sz w:val="22"/>
          <w:u w:val="single"/>
        </w:rPr>
        <w:t xml:space="preserve"> Помощи за работещи в неравностойно положение и работещи с увреждания </w:t>
      </w:r>
    </w:p>
    <w:p w:rsidR="007D461F" w:rsidRPr="003A62C4" w:rsidRDefault="007D461F" w:rsidP="003A62C4">
      <w:pPr>
        <w:rPr>
          <w:sz w:val="22"/>
          <w:szCs w:val="22"/>
        </w:rPr>
      </w:pPr>
      <w:r>
        <w:rPr>
          <w:sz w:val="22"/>
        </w:rPr>
        <w:t>Най-напред следва да бъдат проверени общите условия за прилагането на ОРГО (12 условия/членове 1—12), а след това И условията по отношение на помощите за работещи в неравностойно положение и работещи с увреждания.</w:t>
      </w:r>
    </w:p>
    <w:p w:rsidR="007D461F" w:rsidRPr="003A62C4" w:rsidRDefault="007D461F" w:rsidP="003A62C4">
      <w:pPr>
        <w:jc w:val="center"/>
        <w:rPr>
          <w:b/>
          <w:sz w:val="22"/>
          <w:szCs w:val="22"/>
          <w:u w:val="single"/>
        </w:rPr>
      </w:pPr>
      <w:r>
        <w:rPr>
          <w:b/>
          <w:sz w:val="22"/>
          <w:u w:val="single"/>
        </w:rPr>
        <w:t>А. Общи условия за прилагане</w:t>
      </w:r>
    </w:p>
    <w:p w:rsidR="007D461F" w:rsidRPr="003A62C4" w:rsidRDefault="007D461F" w:rsidP="003A62C4">
      <w:pPr>
        <w:ind w:left="-360" w:right="-134"/>
        <w:jc w:val="both"/>
        <w:rPr>
          <w:sz w:val="22"/>
          <w:szCs w:val="22"/>
        </w:rPr>
      </w:pPr>
    </w:p>
    <w:p w:rsidR="007D461F" w:rsidRPr="003A62C4" w:rsidRDefault="007D461F" w:rsidP="003A62C4">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3A62C4" w:rsidTr="00895393">
        <w:trPr>
          <w:trHeight w:val="145"/>
        </w:trPr>
        <w:tc>
          <w:tcPr>
            <w:tcW w:w="8233" w:type="dxa"/>
            <w:tcBorders>
              <w:bottom w:val="single" w:sz="4" w:space="0" w:color="auto"/>
            </w:tcBorders>
            <w:shd w:val="clear" w:color="auto" w:fill="333399"/>
          </w:tcPr>
          <w:p w:rsidR="000E10AB" w:rsidRPr="003A62C4" w:rsidRDefault="00593387" w:rsidP="003A62C4">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3A62C4" w:rsidRDefault="000E10AB" w:rsidP="003A62C4">
            <w:pPr>
              <w:jc w:val="center"/>
              <w:rPr>
                <w:b/>
                <w:smallCaps/>
                <w:color w:val="FFFFFF"/>
                <w:sz w:val="22"/>
                <w:szCs w:val="22"/>
              </w:rPr>
            </w:pPr>
            <w:r>
              <w:rPr>
                <w:b/>
                <w:smallCaps/>
                <w:color w:val="FFFFFF"/>
                <w:sz w:val="22"/>
              </w:rPr>
              <w:t>Проверка на съответствието (OK?)</w:t>
            </w:r>
          </w:p>
        </w:tc>
      </w:tr>
      <w:tr w:rsidR="000E10AB" w:rsidRPr="003A62C4" w:rsidTr="00895393">
        <w:trPr>
          <w:trHeight w:val="145"/>
        </w:trPr>
        <w:tc>
          <w:tcPr>
            <w:tcW w:w="8233" w:type="dxa"/>
            <w:shd w:val="clear" w:color="auto" w:fill="D9D9D9"/>
          </w:tcPr>
          <w:p w:rsidR="000E10AB" w:rsidRPr="003A62C4" w:rsidRDefault="000E10AB" w:rsidP="003A62C4">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tcBorders>
              <w:bottom w:val="single" w:sz="4" w:space="0" w:color="auto"/>
            </w:tcBorders>
            <w:shd w:val="clear" w:color="auto" w:fill="auto"/>
          </w:tcPr>
          <w:p w:rsidR="000E10AB" w:rsidRPr="003A62C4" w:rsidRDefault="000E10AB" w:rsidP="003A62C4">
            <w:pPr>
              <w:jc w:val="both"/>
              <w:rPr>
                <w:sz w:val="22"/>
                <w:szCs w:val="22"/>
              </w:rPr>
            </w:pPr>
            <w:r>
              <w:rPr>
                <w:b/>
                <w:sz w:val="22"/>
                <w:u w:val="single"/>
              </w:rPr>
              <w:t>Не</w:t>
            </w:r>
            <w:r>
              <w:rPr>
                <w:sz w:val="22"/>
              </w:rPr>
              <w:t xml:space="preserve"> се прилага за:</w:t>
            </w:r>
          </w:p>
          <w:p w:rsidR="000E10AB" w:rsidRPr="003A62C4" w:rsidRDefault="000E10AB" w:rsidP="003A62C4">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026BD7" w:rsidRDefault="000E10AB" w:rsidP="003A62C4">
            <w:pPr>
              <w:numPr>
                <w:ilvl w:val="0"/>
                <w:numId w:val="1"/>
              </w:numPr>
              <w:tabs>
                <w:tab w:val="clear" w:pos="720"/>
                <w:tab w:val="num" w:pos="328"/>
              </w:tabs>
              <w:ind w:left="328" w:hanging="283"/>
              <w:jc w:val="both"/>
              <w:rPr>
                <w:spacing w:val="-4"/>
                <w:sz w:val="22"/>
                <w:szCs w:val="22"/>
              </w:rPr>
            </w:pPr>
            <w:r w:rsidRPr="00026BD7">
              <w:rPr>
                <w:spacing w:val="-4"/>
                <w:sz w:val="22"/>
              </w:rPr>
              <w:t>помощи, обвързани с условието за използване на местни за сметка на вносни стоки.</w:t>
            </w:r>
          </w:p>
        </w:tc>
        <w:tc>
          <w:tcPr>
            <w:tcW w:w="6379" w:type="dxa"/>
            <w:vMerge/>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shd w:val="clear" w:color="auto" w:fill="D9D9D9"/>
          </w:tcPr>
          <w:p w:rsidR="000E10AB" w:rsidRPr="003A62C4" w:rsidRDefault="000E10AB" w:rsidP="003A62C4">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tcBorders>
              <w:bottom w:val="single" w:sz="4" w:space="0" w:color="auto"/>
            </w:tcBorders>
            <w:shd w:val="clear" w:color="auto" w:fill="auto"/>
          </w:tcPr>
          <w:p w:rsidR="00E53C84" w:rsidRPr="003A62C4" w:rsidRDefault="00E53C84" w:rsidP="003A62C4">
            <w:pPr>
              <w:numPr>
                <w:ilvl w:val="0"/>
                <w:numId w:val="2"/>
              </w:numPr>
              <w:tabs>
                <w:tab w:val="clear" w:pos="720"/>
                <w:tab w:val="num" w:pos="328"/>
              </w:tabs>
              <w:ind w:left="328" w:hanging="283"/>
              <w:jc w:val="both"/>
              <w:rPr>
                <w:color w:val="FF0000"/>
                <w:sz w:val="22"/>
                <w:szCs w:val="22"/>
              </w:rPr>
            </w:pPr>
            <w:r>
              <w:rPr>
                <w:sz w:val="22"/>
              </w:rPr>
              <w:t xml:space="preserve">Риболов и аквакултури* (съгласно Регламент (ЕС) № 1379/2013), </w:t>
            </w:r>
            <w:r>
              <w:rPr>
                <w:color w:val="FF0000"/>
                <w:sz w:val="22"/>
              </w:rPr>
              <w:t>с изключение на помощите за работещи в неравностойно положение и работещи с увреждания;</w:t>
            </w:r>
          </w:p>
          <w:p w:rsidR="00E53C84" w:rsidRPr="003A62C4" w:rsidRDefault="00E53C84" w:rsidP="003A62C4">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r>
              <w:rPr>
                <w:color w:val="FF0000"/>
                <w:sz w:val="22"/>
              </w:rPr>
              <w:t>с изключение на помощите за работещи в неравностойно положение и работещи с увреждания;</w:t>
            </w:r>
          </w:p>
          <w:p w:rsidR="00E53C84" w:rsidRPr="003A62C4" w:rsidRDefault="00E53C84" w:rsidP="003A62C4">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 или когато помощта е обвързана със задължението да бъде прехвърлена частично или изцяло на първичните производители;</w:t>
            </w:r>
          </w:p>
          <w:p w:rsidR="00E53C84" w:rsidRPr="003A62C4" w:rsidRDefault="00E53C84" w:rsidP="003A62C4">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3A62C4" w:rsidRDefault="00E53C84" w:rsidP="003A62C4">
            <w:pPr>
              <w:tabs>
                <w:tab w:val="num" w:pos="328"/>
              </w:tabs>
              <w:ind w:left="328"/>
              <w:jc w:val="both"/>
              <w:rPr>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shd w:val="clear" w:color="auto" w:fill="D9D9D9"/>
          </w:tcPr>
          <w:p w:rsidR="000E10AB" w:rsidRPr="003A62C4" w:rsidRDefault="000E10AB" w:rsidP="003A62C4">
            <w:pPr>
              <w:jc w:val="both"/>
              <w:rPr>
                <w:b/>
                <w:sz w:val="22"/>
                <w:szCs w:val="22"/>
              </w:rPr>
            </w:pPr>
            <w:r>
              <w:rPr>
                <w:b/>
                <w:sz w:val="22"/>
              </w:rPr>
              <w:t>Член 1 — Изключване на дружествата, засегнати от правилото Deggendorf (параграф 4)</w:t>
            </w:r>
          </w:p>
        </w:tc>
        <w:tc>
          <w:tcPr>
            <w:tcW w:w="6379" w:type="dxa"/>
            <w:vMerge w:val="restart"/>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tcBorders>
              <w:bottom w:val="single" w:sz="4" w:space="0" w:color="auto"/>
            </w:tcBorders>
            <w:shd w:val="clear" w:color="auto" w:fill="auto"/>
          </w:tcPr>
          <w:p w:rsidR="000E10AB" w:rsidRPr="003A62C4" w:rsidRDefault="000E10AB" w:rsidP="004C3787">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w:t>
            </w:r>
            <w:r>
              <w:rPr>
                <w:sz w:val="22"/>
              </w:rPr>
              <w:lastRenderedPageBreak/>
              <w:t xml:space="preserve">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 и </w:t>
            </w:r>
            <w:r>
              <w:rPr>
                <w:b/>
                <w:sz w:val="22"/>
              </w:rPr>
              <w:t>не</w:t>
            </w:r>
            <w:r>
              <w:rPr>
                <w:sz w:val="22"/>
              </w:rPr>
              <w:t xml:space="preserve"> се прилага по отношение на </w:t>
            </w:r>
            <w:r>
              <w:rPr>
                <w:i/>
                <w:sz w:val="22"/>
              </w:rPr>
              <w:t>ad hoc</w:t>
            </w:r>
            <w:r>
              <w:rPr>
                <w:sz w:val="22"/>
              </w:rPr>
              <w:t xml:space="preserve"> помощи в полза на такива предприятия.</w:t>
            </w:r>
          </w:p>
        </w:tc>
        <w:tc>
          <w:tcPr>
            <w:tcW w:w="6379" w:type="dxa"/>
            <w:vMerge/>
            <w:shd w:val="clear" w:color="auto" w:fill="auto"/>
          </w:tcPr>
          <w:p w:rsidR="000E10AB" w:rsidRPr="003A62C4" w:rsidRDefault="000E10AB" w:rsidP="003A62C4">
            <w:pPr>
              <w:rPr>
                <w:sz w:val="22"/>
                <w:szCs w:val="22"/>
              </w:rPr>
            </w:pPr>
          </w:p>
        </w:tc>
      </w:tr>
      <w:tr w:rsidR="000E10AB" w:rsidRPr="003A62C4" w:rsidTr="00F922A1">
        <w:trPr>
          <w:trHeight w:val="145"/>
        </w:trPr>
        <w:tc>
          <w:tcPr>
            <w:tcW w:w="8233" w:type="dxa"/>
            <w:shd w:val="clear" w:color="auto" w:fill="D9D9D9"/>
          </w:tcPr>
          <w:p w:rsidR="000E10AB" w:rsidRPr="003A62C4" w:rsidRDefault="000E10AB" w:rsidP="003A62C4">
            <w:pPr>
              <w:rPr>
                <w:b/>
                <w:sz w:val="22"/>
                <w:szCs w:val="22"/>
              </w:rPr>
            </w:pPr>
            <w:r>
              <w:rPr>
                <w:b/>
                <w:sz w:val="22"/>
              </w:rPr>
              <w:lastRenderedPageBreak/>
              <w:t>Член 1 — Изключване на дружествата в затруднено положение (параграф 4)</w:t>
            </w:r>
          </w:p>
        </w:tc>
        <w:tc>
          <w:tcPr>
            <w:tcW w:w="6379" w:type="dxa"/>
            <w:vMerge w:val="restart"/>
            <w:shd w:val="clear" w:color="auto" w:fill="FFFFFF"/>
          </w:tcPr>
          <w:p w:rsidR="000E10AB" w:rsidRPr="003A62C4" w:rsidRDefault="000E10AB" w:rsidP="003A62C4">
            <w:pPr>
              <w:rPr>
                <w:sz w:val="22"/>
                <w:szCs w:val="22"/>
              </w:rPr>
            </w:pPr>
          </w:p>
        </w:tc>
      </w:tr>
      <w:tr w:rsidR="000E10AB" w:rsidRPr="003A62C4" w:rsidTr="00DF0CCA">
        <w:trPr>
          <w:trHeight w:val="472"/>
        </w:trPr>
        <w:tc>
          <w:tcPr>
            <w:tcW w:w="8233" w:type="dxa"/>
            <w:tcBorders>
              <w:bottom w:val="single" w:sz="4" w:space="0" w:color="auto"/>
            </w:tcBorders>
          </w:tcPr>
          <w:p w:rsidR="000E10AB" w:rsidRPr="003A62C4" w:rsidRDefault="000E10AB" w:rsidP="006075D5">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FFFFFF"/>
          </w:tcPr>
          <w:p w:rsidR="000E10AB" w:rsidRPr="003A62C4" w:rsidRDefault="000E10AB" w:rsidP="003A62C4">
            <w:pPr>
              <w:rPr>
                <w:sz w:val="22"/>
                <w:szCs w:val="22"/>
              </w:rPr>
            </w:pPr>
          </w:p>
        </w:tc>
      </w:tr>
      <w:tr w:rsidR="000E10AB" w:rsidRPr="003A62C4" w:rsidTr="00895393">
        <w:trPr>
          <w:trHeight w:val="145"/>
        </w:trPr>
        <w:tc>
          <w:tcPr>
            <w:tcW w:w="8233" w:type="dxa"/>
            <w:shd w:val="clear" w:color="auto" w:fill="D9D9D9"/>
          </w:tcPr>
          <w:p w:rsidR="000E10AB" w:rsidRPr="003A62C4" w:rsidRDefault="000E10AB" w:rsidP="001036A5">
            <w:pPr>
              <w:jc w:val="both"/>
              <w:rPr>
                <w:b/>
                <w:sz w:val="22"/>
                <w:szCs w:val="22"/>
              </w:rPr>
            </w:pPr>
            <w:r>
              <w:rPr>
                <w:b/>
                <w:sz w:val="22"/>
              </w:rPr>
              <w:t>Член 1 — Изключване на мерките за помощ, които нарушават законодателството на Съюза (параграф 5)</w:t>
            </w:r>
          </w:p>
        </w:tc>
        <w:tc>
          <w:tcPr>
            <w:tcW w:w="6379" w:type="dxa"/>
            <w:vMerge w:val="restart"/>
            <w:shd w:val="clear" w:color="auto" w:fill="auto"/>
          </w:tcPr>
          <w:p w:rsidR="000E10AB" w:rsidRPr="003A62C4" w:rsidRDefault="000E10AB" w:rsidP="003A62C4">
            <w:pPr>
              <w:rPr>
                <w:sz w:val="22"/>
                <w:szCs w:val="22"/>
              </w:rPr>
            </w:pPr>
          </w:p>
        </w:tc>
      </w:tr>
      <w:tr w:rsidR="000E10AB" w:rsidRPr="003A62C4" w:rsidTr="00895393">
        <w:trPr>
          <w:trHeight w:val="145"/>
        </w:trPr>
        <w:tc>
          <w:tcPr>
            <w:tcW w:w="8233" w:type="dxa"/>
            <w:tcBorders>
              <w:bottom w:val="single" w:sz="4" w:space="0" w:color="auto"/>
            </w:tcBorders>
            <w:shd w:val="clear" w:color="auto" w:fill="auto"/>
          </w:tcPr>
          <w:p w:rsidR="000E10AB" w:rsidRPr="003A62C4" w:rsidRDefault="001807C0" w:rsidP="003A62C4">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3A62C4" w:rsidRDefault="000E10AB" w:rsidP="003A62C4">
            <w:pPr>
              <w:autoSpaceDE w:val="0"/>
              <w:autoSpaceDN w:val="0"/>
              <w:adjustRightInd w:val="0"/>
              <w:jc w:val="both"/>
              <w:rPr>
                <w:sz w:val="22"/>
                <w:szCs w:val="22"/>
              </w:rPr>
            </w:pPr>
            <w:r>
              <w:t>а) задължение седалището или основното място на установяване на бенефициера да се намира в съответната държава членка.</w:t>
            </w:r>
            <w:r>
              <w:rPr>
                <w:sz w:val="22"/>
              </w:rPr>
              <w:t xml:space="preserve">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3A62C4" w:rsidRDefault="000E10AB" w:rsidP="003A62C4">
            <w:pPr>
              <w:autoSpaceDE w:val="0"/>
              <w:autoSpaceDN w:val="0"/>
              <w:adjustRightInd w:val="0"/>
              <w:jc w:val="both"/>
              <w:rPr>
                <w:sz w:val="22"/>
                <w:szCs w:val="22"/>
              </w:rPr>
            </w:pPr>
            <w:r>
              <w:rPr>
                <w:sz w:val="22"/>
              </w:rPr>
              <w:t>б) задължение бенефициерът да използва стоки и услуги, произведени на територията на държавата членка;</w:t>
            </w:r>
          </w:p>
          <w:p w:rsidR="000E10AB" w:rsidRPr="003A62C4" w:rsidRDefault="000E10AB" w:rsidP="003A62C4">
            <w:pPr>
              <w:autoSpaceDE w:val="0"/>
              <w:autoSpaceDN w:val="0"/>
              <w:adjustRightInd w:val="0"/>
              <w:jc w:val="both"/>
              <w:rPr>
                <w:sz w:val="22"/>
                <w:szCs w:val="22"/>
              </w:rPr>
            </w:pPr>
            <w:r>
              <w:rPr>
                <w:sz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3A62C4" w:rsidRDefault="000E10AB" w:rsidP="003A62C4">
            <w:pPr>
              <w:rPr>
                <w:sz w:val="22"/>
                <w:szCs w:val="22"/>
              </w:rPr>
            </w:pPr>
          </w:p>
        </w:tc>
      </w:tr>
      <w:tr w:rsidR="000E10AB" w:rsidRPr="003A62C4" w:rsidTr="00F922A1">
        <w:trPr>
          <w:trHeight w:val="271"/>
        </w:trPr>
        <w:tc>
          <w:tcPr>
            <w:tcW w:w="8233" w:type="dxa"/>
            <w:shd w:val="clear" w:color="auto" w:fill="D9D9D9"/>
          </w:tcPr>
          <w:p w:rsidR="000E10AB" w:rsidRPr="003A62C4" w:rsidRDefault="000E10AB" w:rsidP="003A62C4">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3A62C4" w:rsidRDefault="000E10AB" w:rsidP="003A62C4">
            <w:pPr>
              <w:rPr>
                <w:sz w:val="22"/>
                <w:szCs w:val="22"/>
              </w:rPr>
            </w:pPr>
          </w:p>
        </w:tc>
      </w:tr>
      <w:tr w:rsidR="000E10AB" w:rsidRPr="003A62C4" w:rsidTr="00895393">
        <w:trPr>
          <w:trHeight w:val="271"/>
        </w:trPr>
        <w:tc>
          <w:tcPr>
            <w:tcW w:w="8233" w:type="dxa"/>
            <w:tcBorders>
              <w:bottom w:val="single" w:sz="4" w:space="0" w:color="auto"/>
            </w:tcBorders>
            <w:shd w:val="clear" w:color="auto" w:fill="auto"/>
          </w:tcPr>
          <w:p w:rsidR="000E10AB" w:rsidRPr="003A62C4" w:rsidRDefault="000E10AB" w:rsidP="003A62C4">
            <w:pPr>
              <w:rPr>
                <w:sz w:val="22"/>
                <w:szCs w:val="22"/>
              </w:rPr>
            </w:pPr>
            <w:r>
              <w:rPr>
                <w:b/>
                <w:sz w:val="22"/>
              </w:rPr>
              <w:t>Не</w:t>
            </w:r>
            <w:r>
              <w:rPr>
                <w:sz w:val="22"/>
              </w:rPr>
              <w:t xml:space="preserve"> се прилага за помощи, надхвърлящи:</w:t>
            </w:r>
          </w:p>
          <w:p w:rsidR="00633331" w:rsidRPr="003A62C4" w:rsidRDefault="00633331" w:rsidP="003A62C4">
            <w:pPr>
              <w:numPr>
                <w:ilvl w:val="0"/>
                <w:numId w:val="7"/>
              </w:numPr>
              <w:rPr>
                <w:sz w:val="22"/>
                <w:szCs w:val="22"/>
              </w:rPr>
            </w:pPr>
            <w:r>
              <w:rPr>
                <w:sz w:val="22"/>
              </w:rPr>
              <w:t>наемане на работещи в неравностойно положение: 5 милиона евро на предприятие годишно;</w:t>
            </w:r>
          </w:p>
          <w:p w:rsidR="00633331" w:rsidRPr="003A62C4" w:rsidRDefault="00633331" w:rsidP="003A62C4">
            <w:pPr>
              <w:numPr>
                <w:ilvl w:val="0"/>
                <w:numId w:val="7"/>
              </w:numPr>
              <w:rPr>
                <w:sz w:val="22"/>
                <w:szCs w:val="22"/>
              </w:rPr>
            </w:pPr>
            <w:r>
              <w:rPr>
                <w:sz w:val="22"/>
              </w:rPr>
              <w:t>наемане на работещи с увреждания под формата на субсидии за заплати: 10 милиона евро на предприятие годишно;</w:t>
            </w:r>
          </w:p>
          <w:p w:rsidR="00633331" w:rsidRPr="003A62C4" w:rsidRDefault="00633331" w:rsidP="003A62C4">
            <w:pPr>
              <w:numPr>
                <w:ilvl w:val="0"/>
                <w:numId w:val="7"/>
              </w:numPr>
              <w:rPr>
                <w:sz w:val="22"/>
                <w:szCs w:val="22"/>
              </w:rPr>
            </w:pPr>
            <w:r>
              <w:rPr>
                <w:sz w:val="22"/>
              </w:rPr>
              <w:t>компенсиране на допълнителните разходи, свързани с наемането на работещи с увреждания: 10 милиона евро на предприятие годишно;</w:t>
            </w:r>
          </w:p>
          <w:p w:rsidR="000E10AB" w:rsidRPr="003A62C4" w:rsidRDefault="001807C0" w:rsidP="003A62C4">
            <w:pPr>
              <w:numPr>
                <w:ilvl w:val="0"/>
                <w:numId w:val="7"/>
              </w:numPr>
              <w:rPr>
                <w:sz w:val="22"/>
                <w:szCs w:val="22"/>
              </w:rPr>
            </w:pPr>
            <w:r>
              <w:rPr>
                <w:sz w:val="22"/>
              </w:rPr>
              <w:t>помощи за компенсиране на разходите за оказване на помощ на работещи в неравностойно положение: 5 милиона евро на предприятие годишно.</w:t>
            </w:r>
          </w:p>
          <w:p w:rsidR="001807C0" w:rsidRPr="003A62C4" w:rsidRDefault="001807C0" w:rsidP="003A62C4">
            <w:pPr>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0E10AB" w:rsidRPr="003A62C4" w:rsidRDefault="000E10AB" w:rsidP="003A62C4">
            <w:pPr>
              <w:rPr>
                <w:sz w:val="22"/>
                <w:szCs w:val="22"/>
              </w:rPr>
            </w:pPr>
          </w:p>
        </w:tc>
      </w:tr>
      <w:tr w:rsidR="000E10AB" w:rsidRPr="003A62C4" w:rsidTr="00F922A1">
        <w:trPr>
          <w:trHeight w:val="344"/>
        </w:trPr>
        <w:tc>
          <w:tcPr>
            <w:tcW w:w="8233" w:type="dxa"/>
            <w:shd w:val="clear" w:color="auto" w:fill="D9D9D9"/>
          </w:tcPr>
          <w:p w:rsidR="000E10AB" w:rsidRPr="003A62C4" w:rsidRDefault="000E10AB" w:rsidP="003A62C4">
            <w:pPr>
              <w:jc w:val="both"/>
              <w:rPr>
                <w:b/>
                <w:sz w:val="22"/>
                <w:szCs w:val="22"/>
              </w:rPr>
            </w:pPr>
            <w:r>
              <w:rPr>
                <w:b/>
                <w:sz w:val="22"/>
              </w:rPr>
              <w:lastRenderedPageBreak/>
              <w:t xml:space="preserve">Член 5 — Прозрачност на помощта </w:t>
            </w:r>
          </w:p>
        </w:tc>
        <w:tc>
          <w:tcPr>
            <w:tcW w:w="6379" w:type="dxa"/>
            <w:shd w:val="clear" w:color="auto" w:fill="D9D9D9"/>
          </w:tcPr>
          <w:p w:rsidR="000E10AB" w:rsidRPr="003A62C4" w:rsidRDefault="000E10AB" w:rsidP="003A62C4">
            <w:pPr>
              <w:rPr>
                <w:sz w:val="22"/>
                <w:szCs w:val="22"/>
              </w:rPr>
            </w:pPr>
          </w:p>
        </w:tc>
      </w:tr>
      <w:tr w:rsidR="000E10AB" w:rsidRPr="003A62C4" w:rsidTr="00895393">
        <w:trPr>
          <w:trHeight w:val="344"/>
        </w:trPr>
        <w:tc>
          <w:tcPr>
            <w:tcW w:w="8233" w:type="dxa"/>
            <w:shd w:val="clear" w:color="auto" w:fill="auto"/>
          </w:tcPr>
          <w:p w:rsidR="000E10AB" w:rsidRPr="003A62C4" w:rsidRDefault="000E10AB" w:rsidP="003A62C4">
            <w:pPr>
              <w:jc w:val="both"/>
              <w:rPr>
                <w:sz w:val="22"/>
                <w:szCs w:val="22"/>
              </w:rPr>
            </w:pPr>
            <w:r>
              <w:rPr>
                <w:sz w:val="22"/>
              </w:rPr>
              <w:t>Прилага се само за прозрачни помощи, като за прозрачни се считат:</w:t>
            </w:r>
          </w:p>
          <w:p w:rsidR="000E10AB" w:rsidRPr="003A62C4" w:rsidRDefault="000E10AB" w:rsidP="003A62C4">
            <w:pPr>
              <w:numPr>
                <w:ilvl w:val="0"/>
                <w:numId w:val="5"/>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3D55CE" w:rsidRDefault="000E10AB" w:rsidP="003A62C4">
            <w:pPr>
              <w:numPr>
                <w:ilvl w:val="0"/>
                <w:numId w:val="3"/>
              </w:numPr>
              <w:tabs>
                <w:tab w:val="clear" w:pos="720"/>
                <w:tab w:val="num" w:pos="328"/>
              </w:tabs>
              <w:ind w:left="328" w:hanging="283"/>
              <w:jc w:val="both"/>
              <w:rPr>
                <w:spacing w:val="-6"/>
                <w:sz w:val="22"/>
                <w:szCs w:val="22"/>
              </w:rPr>
            </w:pPr>
            <w:r w:rsidRPr="003D55CE">
              <w:rPr>
                <w:spacing w:val="-6"/>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3A62C4" w:rsidRDefault="000E10AB" w:rsidP="003A62C4">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3A62C4" w:rsidRDefault="000E10AB" w:rsidP="003A62C4">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3A62C4" w:rsidRDefault="000E10AB" w:rsidP="003A62C4">
            <w:pPr>
              <w:tabs>
                <w:tab w:val="num" w:pos="328"/>
              </w:tabs>
              <w:ind w:left="328" w:hanging="283"/>
              <w:jc w:val="both"/>
              <w:rPr>
                <w:sz w:val="22"/>
                <w:szCs w:val="22"/>
              </w:rPr>
            </w:pPr>
            <w:r>
              <w:rPr>
                <w:sz w:val="22"/>
              </w:rPr>
              <w:t xml:space="preserve">или </w:t>
            </w:r>
          </w:p>
          <w:p w:rsidR="000E10AB" w:rsidRPr="003A62C4" w:rsidRDefault="000E10AB" w:rsidP="003A62C4">
            <w:pPr>
              <w:tabs>
                <w:tab w:val="num" w:pos="328"/>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3A62C4" w:rsidRDefault="000E10AB" w:rsidP="003A62C4">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3A62C4" w:rsidRDefault="000E10AB" w:rsidP="003A62C4">
            <w:pPr>
              <w:numPr>
                <w:ilvl w:val="0"/>
                <w:numId w:val="3"/>
              </w:numPr>
              <w:tabs>
                <w:tab w:val="clear" w:pos="720"/>
                <w:tab w:val="num" w:pos="328"/>
              </w:tabs>
              <w:autoSpaceDE w:val="0"/>
              <w:autoSpaceDN w:val="0"/>
              <w:adjustRightInd w:val="0"/>
              <w:ind w:left="328" w:hanging="283"/>
              <w:jc w:val="both"/>
              <w:rPr>
                <w:b/>
                <w:sz w:val="22"/>
                <w:szCs w:val="22"/>
              </w:rPr>
            </w:pPr>
            <w:r>
              <w:rPr>
                <w:sz w:val="22"/>
              </w:rPr>
              <w:t>възстановяемите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3A62C4" w:rsidRDefault="000E10AB" w:rsidP="003A62C4">
            <w:pPr>
              <w:rPr>
                <w:sz w:val="22"/>
                <w:szCs w:val="22"/>
              </w:rPr>
            </w:pPr>
          </w:p>
        </w:tc>
      </w:tr>
      <w:tr w:rsidR="000E10AB" w:rsidRPr="003A62C4" w:rsidTr="00AA1B68">
        <w:trPr>
          <w:trHeight w:val="271"/>
        </w:trPr>
        <w:tc>
          <w:tcPr>
            <w:tcW w:w="8233" w:type="dxa"/>
            <w:shd w:val="clear" w:color="auto" w:fill="D9D9D9"/>
          </w:tcPr>
          <w:p w:rsidR="000E10AB" w:rsidRPr="003A62C4" w:rsidRDefault="000E10AB" w:rsidP="003A62C4">
            <w:pPr>
              <w:rPr>
                <w:b/>
                <w:sz w:val="22"/>
                <w:szCs w:val="22"/>
              </w:rPr>
            </w:pPr>
            <w:r>
              <w:rPr>
                <w:b/>
                <w:sz w:val="22"/>
              </w:rPr>
              <w:t xml:space="preserve">Член 6 — Стимулиращ ефект </w:t>
            </w:r>
          </w:p>
        </w:tc>
        <w:tc>
          <w:tcPr>
            <w:tcW w:w="6379" w:type="dxa"/>
            <w:shd w:val="clear" w:color="auto" w:fill="D9D9D9"/>
          </w:tcPr>
          <w:p w:rsidR="000E10AB" w:rsidRPr="003A62C4" w:rsidRDefault="000E10AB" w:rsidP="003A62C4">
            <w:pPr>
              <w:rPr>
                <w:sz w:val="22"/>
                <w:szCs w:val="22"/>
              </w:rPr>
            </w:pPr>
          </w:p>
        </w:tc>
      </w:tr>
      <w:tr w:rsidR="000E10AB" w:rsidRPr="003A62C4" w:rsidTr="00895393">
        <w:trPr>
          <w:trHeight w:val="271"/>
        </w:trPr>
        <w:tc>
          <w:tcPr>
            <w:tcW w:w="8233" w:type="dxa"/>
            <w:tcBorders>
              <w:bottom w:val="single" w:sz="4" w:space="0" w:color="auto"/>
            </w:tcBorders>
            <w:shd w:val="clear" w:color="auto" w:fill="auto"/>
          </w:tcPr>
          <w:p w:rsidR="000E10AB" w:rsidRPr="003A62C4" w:rsidRDefault="000E10AB" w:rsidP="003A62C4">
            <w:pPr>
              <w:rPr>
                <w:sz w:val="22"/>
                <w:szCs w:val="22"/>
              </w:rPr>
            </w:pPr>
            <w:r>
              <w:rPr>
                <w:sz w:val="22"/>
              </w:rPr>
              <w:t>Помощта може да бъде освободена от задължението за уведомяване само ако има стимулиращ ефект:</w:t>
            </w:r>
          </w:p>
          <w:p w:rsidR="000E10AB" w:rsidRPr="003A62C4" w:rsidRDefault="000E10AB" w:rsidP="003A62C4">
            <w:pPr>
              <w:numPr>
                <w:ilvl w:val="0"/>
                <w:numId w:val="4"/>
              </w:numPr>
              <w:rPr>
                <w:sz w:val="22"/>
                <w:szCs w:val="22"/>
              </w:rPr>
            </w:pPr>
            <w:r>
              <w:rPr>
                <w:b/>
              </w:rPr>
              <w:t>преди работата</w:t>
            </w:r>
            <w:r>
              <w:t xml:space="preserve"> по проекта или дейността да е започнала, </w:t>
            </w:r>
            <w:r>
              <w:rPr>
                <w:b/>
              </w:rPr>
              <w:t>бенефициерът е подал до държавата членка заявление за помощ</w:t>
            </w:r>
            <w:r>
              <w:t>, което съдържа поне следната информация:</w:t>
            </w:r>
          </w:p>
          <w:p w:rsidR="000E10AB" w:rsidRPr="003A62C4" w:rsidRDefault="000E10AB" w:rsidP="003A62C4">
            <w:pPr>
              <w:numPr>
                <w:ilvl w:val="0"/>
                <w:numId w:val="8"/>
              </w:numPr>
              <w:autoSpaceDE w:val="0"/>
              <w:autoSpaceDN w:val="0"/>
              <w:adjustRightInd w:val="0"/>
              <w:rPr>
                <w:sz w:val="22"/>
                <w:szCs w:val="22"/>
              </w:rPr>
            </w:pPr>
            <w:r>
              <w:rPr>
                <w:sz w:val="22"/>
              </w:rPr>
              <w:t>наименование и големина на предприятието;</w:t>
            </w:r>
          </w:p>
          <w:p w:rsidR="000E10AB" w:rsidRPr="003A62C4" w:rsidRDefault="000E10AB" w:rsidP="003A62C4">
            <w:pPr>
              <w:numPr>
                <w:ilvl w:val="0"/>
                <w:numId w:val="8"/>
              </w:numPr>
              <w:autoSpaceDE w:val="0"/>
              <w:autoSpaceDN w:val="0"/>
              <w:adjustRightInd w:val="0"/>
              <w:rPr>
                <w:sz w:val="22"/>
                <w:szCs w:val="22"/>
              </w:rPr>
            </w:pPr>
            <w:r>
              <w:rPr>
                <w:sz w:val="22"/>
              </w:rPr>
              <w:t>описание на проекта, включително неговата начална и крайна дата;</w:t>
            </w:r>
          </w:p>
          <w:p w:rsidR="000E10AB" w:rsidRPr="003A62C4" w:rsidRDefault="000E10AB" w:rsidP="003A62C4">
            <w:pPr>
              <w:numPr>
                <w:ilvl w:val="0"/>
                <w:numId w:val="8"/>
              </w:numPr>
              <w:autoSpaceDE w:val="0"/>
              <w:autoSpaceDN w:val="0"/>
              <w:adjustRightInd w:val="0"/>
              <w:rPr>
                <w:sz w:val="22"/>
                <w:szCs w:val="22"/>
              </w:rPr>
            </w:pPr>
            <w:r>
              <w:rPr>
                <w:sz w:val="22"/>
              </w:rPr>
              <w:t>местонахождение на проекта;</w:t>
            </w:r>
          </w:p>
          <w:p w:rsidR="000E10AB" w:rsidRPr="003A62C4" w:rsidRDefault="000E10AB" w:rsidP="003A62C4">
            <w:pPr>
              <w:numPr>
                <w:ilvl w:val="0"/>
                <w:numId w:val="8"/>
              </w:numPr>
              <w:autoSpaceDE w:val="0"/>
              <w:autoSpaceDN w:val="0"/>
              <w:adjustRightInd w:val="0"/>
              <w:rPr>
                <w:sz w:val="22"/>
                <w:szCs w:val="22"/>
              </w:rPr>
            </w:pPr>
            <w:r>
              <w:rPr>
                <w:sz w:val="22"/>
              </w:rPr>
              <w:t>списък с разходите по проекта;</w:t>
            </w:r>
          </w:p>
          <w:p w:rsidR="000E10AB" w:rsidRPr="003A62C4" w:rsidRDefault="000E10AB" w:rsidP="003A62C4">
            <w:pPr>
              <w:numPr>
                <w:ilvl w:val="0"/>
                <w:numId w:val="8"/>
              </w:numPr>
              <w:autoSpaceDE w:val="0"/>
              <w:autoSpaceDN w:val="0"/>
              <w:adjustRightInd w:val="0"/>
              <w:jc w:val="both"/>
              <w:rPr>
                <w:sz w:val="22"/>
                <w:szCs w:val="22"/>
              </w:rPr>
            </w:pPr>
            <w:r>
              <w:rPr>
                <w:sz w:val="22"/>
              </w:rPr>
              <w:lastRenderedPageBreak/>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0E10AB" w:rsidRPr="003A62C4" w:rsidRDefault="003C3F0E" w:rsidP="003A62C4">
            <w:pPr>
              <w:numPr>
                <w:ilvl w:val="0"/>
                <w:numId w:val="4"/>
              </w:numPr>
              <w:autoSpaceDE w:val="0"/>
              <w:autoSpaceDN w:val="0"/>
              <w:adjustRightInd w:val="0"/>
              <w:jc w:val="both"/>
              <w:rPr>
                <w:sz w:val="22"/>
                <w:szCs w:val="22"/>
              </w:rPr>
            </w:pPr>
            <w:r w:rsidRPr="003D55CE">
              <w:rPr>
                <w:b/>
                <w:sz w:val="22"/>
                <w:szCs w:val="22"/>
              </w:rPr>
              <w:t xml:space="preserve">помощи </w:t>
            </w:r>
            <w:r w:rsidRPr="003D55CE">
              <w:rPr>
                <w:b/>
                <w:i/>
                <w:sz w:val="22"/>
                <w:szCs w:val="22"/>
              </w:rPr>
              <w:t>ad hoc</w:t>
            </w:r>
            <w:r w:rsidRPr="003D55CE">
              <w:rPr>
                <w:b/>
                <w:sz w:val="22"/>
                <w:szCs w:val="22"/>
              </w:rPr>
              <w:t xml:space="preserve"> за големи предприятия</w:t>
            </w:r>
            <w:r w:rsidRPr="003D55CE">
              <w:rPr>
                <w:sz w:val="22"/>
                <w:szCs w:val="22"/>
              </w:rPr>
              <w:t>; освен горното, преди да предостави помощта, държавата членка</w:t>
            </w:r>
            <w:r>
              <w:rPr>
                <w:sz w:val="22"/>
              </w:rPr>
              <w:t xml:space="preserve"> се е уверила, че с представената от бенефициера документация са доказани едно или повече от следните положения:</w:t>
            </w:r>
          </w:p>
          <w:p w:rsidR="00FE2996" w:rsidRPr="003A62C4" w:rsidRDefault="003D55CE" w:rsidP="003A62C4">
            <w:pPr>
              <w:ind w:left="396"/>
              <w:rPr>
                <w:sz w:val="22"/>
                <w:szCs w:val="22"/>
              </w:rPr>
            </w:pPr>
            <w:r w:rsidRPr="003A62C4">
              <w:rPr>
                <w:sz w:val="22"/>
                <w:szCs w:val="22"/>
                <w:lang w:eastAsia="en-GB"/>
              </w:rPr>
              <w:t>-</w:t>
            </w:r>
            <w:r w:rsidRPr="003A62C4">
              <w:rPr>
                <w:sz w:val="22"/>
                <w:szCs w:val="22"/>
                <w:lang w:eastAsia="en-GB"/>
              </w:rPr>
              <w:tab/>
            </w:r>
            <w:r w:rsidR="00FE2996">
              <w:rPr>
                <w:sz w:val="22"/>
              </w:rPr>
              <w:t>съществено нарастване на обхвата на проекта или дейността в резултат на помощта или</w:t>
            </w:r>
          </w:p>
          <w:p w:rsidR="00FE2996" w:rsidRPr="003A62C4" w:rsidRDefault="003D55CE" w:rsidP="003A62C4">
            <w:pPr>
              <w:ind w:left="396"/>
              <w:rPr>
                <w:sz w:val="22"/>
                <w:szCs w:val="22"/>
              </w:rPr>
            </w:pPr>
            <w:r w:rsidRPr="003A62C4">
              <w:rPr>
                <w:sz w:val="22"/>
                <w:szCs w:val="22"/>
                <w:lang w:eastAsia="en-GB"/>
              </w:rPr>
              <w:t>-</w:t>
            </w:r>
            <w:r w:rsidRPr="003A62C4">
              <w:rPr>
                <w:sz w:val="22"/>
                <w:szCs w:val="22"/>
                <w:lang w:eastAsia="en-GB"/>
              </w:rPr>
              <w:tab/>
            </w:r>
            <w:r w:rsidR="00FE2996">
              <w:rPr>
                <w:sz w:val="22"/>
              </w:rPr>
              <w:t>съществено увеличение на общата сума, изразходвана от бенефициера за проекта или дейността в резултат на помощта, или</w:t>
            </w:r>
          </w:p>
          <w:p w:rsidR="00FE2996" w:rsidRPr="003A62C4" w:rsidRDefault="003D55CE" w:rsidP="003A62C4">
            <w:pPr>
              <w:ind w:left="396"/>
              <w:rPr>
                <w:sz w:val="22"/>
                <w:szCs w:val="22"/>
              </w:rPr>
            </w:pPr>
            <w:r w:rsidRPr="003A62C4">
              <w:rPr>
                <w:sz w:val="22"/>
                <w:szCs w:val="22"/>
                <w:lang w:eastAsia="en-GB"/>
              </w:rPr>
              <w:t>-</w:t>
            </w:r>
            <w:r w:rsidRPr="003A62C4">
              <w:rPr>
                <w:sz w:val="22"/>
                <w:szCs w:val="22"/>
                <w:lang w:eastAsia="en-GB"/>
              </w:rPr>
              <w:tab/>
            </w:r>
            <w:r w:rsidR="00FE2996">
              <w:rPr>
                <w:sz w:val="22"/>
              </w:rPr>
              <w:t>съществено нарастване на скоростта на изпълнение на съответния проект или съответната дейност.</w:t>
            </w:r>
          </w:p>
          <w:p w:rsidR="000E10AB" w:rsidRPr="003A62C4" w:rsidRDefault="000E10AB" w:rsidP="003A62C4">
            <w:pPr>
              <w:rPr>
                <w:sz w:val="22"/>
                <w:szCs w:val="22"/>
              </w:rPr>
            </w:pPr>
            <w:r>
              <w:rPr>
                <w:sz w:val="22"/>
                <w:szCs w:val="22"/>
              </w:rPr>
              <w:sym w:font="Wingdings" w:char="F0E0"/>
            </w:r>
            <w:r>
              <w:rPr>
                <w:b/>
                <w:sz w:val="22"/>
              </w:rPr>
              <w:t>Изключения</w:t>
            </w:r>
          </w:p>
          <w:p w:rsidR="000E10AB" w:rsidRPr="003A62C4" w:rsidRDefault="000E10AB" w:rsidP="003A62C4">
            <w:pPr>
              <w:numPr>
                <w:ilvl w:val="0"/>
                <w:numId w:val="4"/>
              </w:numPr>
              <w:rPr>
                <w:sz w:val="22"/>
                <w:szCs w:val="22"/>
              </w:rPr>
            </w:pPr>
            <w:r>
              <w:rPr>
                <w:sz w:val="22"/>
              </w:rPr>
              <w:t>данъчни предимства, ако:</w:t>
            </w:r>
          </w:p>
          <w:p w:rsidR="000E10AB" w:rsidRPr="003A62C4" w:rsidRDefault="000E10AB" w:rsidP="003A62C4">
            <w:pPr>
              <w:numPr>
                <w:ilvl w:val="0"/>
                <w:numId w:val="9"/>
              </w:numPr>
              <w:autoSpaceDE w:val="0"/>
              <w:autoSpaceDN w:val="0"/>
              <w:adjustRightInd w:val="0"/>
              <w:jc w:val="both"/>
              <w:rPr>
                <w:sz w:val="22"/>
                <w:szCs w:val="22"/>
              </w:rPr>
            </w:pPr>
            <w:r>
              <w:rPr>
                <w:sz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0E10AB" w:rsidRPr="003A62C4" w:rsidRDefault="000E10AB" w:rsidP="003A62C4">
            <w:pPr>
              <w:numPr>
                <w:ilvl w:val="0"/>
                <w:numId w:val="9"/>
              </w:numPr>
              <w:autoSpaceDE w:val="0"/>
              <w:autoSpaceDN w:val="0"/>
              <w:adjustRightInd w:val="0"/>
              <w:jc w:val="both"/>
              <w:rPr>
                <w:sz w:val="22"/>
                <w:szCs w:val="22"/>
              </w:rPr>
            </w:pPr>
            <w:r>
              <w:rPr>
                <w:sz w:val="22"/>
              </w:rPr>
              <w:t>мярката е приета и е била в сила преди започването на работата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p>
          <w:p w:rsidR="00FE2996" w:rsidRPr="003A62C4" w:rsidRDefault="003A62C4" w:rsidP="003A62C4">
            <w:pPr>
              <w:numPr>
                <w:ilvl w:val="0"/>
                <w:numId w:val="4"/>
              </w:numPr>
              <w:autoSpaceDE w:val="0"/>
              <w:autoSpaceDN w:val="0"/>
              <w:adjustRightInd w:val="0"/>
              <w:jc w:val="both"/>
              <w:rPr>
                <w:sz w:val="22"/>
                <w:szCs w:val="22"/>
              </w:rPr>
            </w:pPr>
            <w:r>
              <w:rPr>
                <w:sz w:val="22"/>
              </w:rPr>
              <w:t>помощи за наемане на работещи в неравностойно положение под формата на субсидии за заплати и помощи за наемане на работещи с увреждания под формата на субсидии за заплати, ако са изпълнени приложимите условия в членове съответно 32 и 33;</w:t>
            </w:r>
          </w:p>
          <w:p w:rsidR="000E10AB" w:rsidRPr="003A62C4" w:rsidRDefault="003A62C4" w:rsidP="003A62C4">
            <w:pPr>
              <w:numPr>
                <w:ilvl w:val="0"/>
                <w:numId w:val="4"/>
              </w:numPr>
              <w:autoSpaceDE w:val="0"/>
              <w:autoSpaceDN w:val="0"/>
              <w:adjustRightInd w:val="0"/>
              <w:jc w:val="both"/>
              <w:rPr>
                <w:sz w:val="22"/>
                <w:szCs w:val="22"/>
              </w:rPr>
            </w:pPr>
            <w:r>
              <w:rPr>
                <w:sz w:val="22"/>
              </w:rPr>
              <w:t>помощи за компенсиране на допълнителните разходи, свързани с наемането на работещи с увреждания, ако са изпълнени условията в член 34.</w:t>
            </w:r>
          </w:p>
        </w:tc>
        <w:tc>
          <w:tcPr>
            <w:tcW w:w="6379" w:type="dxa"/>
            <w:shd w:val="clear" w:color="auto" w:fill="auto"/>
          </w:tcPr>
          <w:p w:rsidR="000E10AB" w:rsidRPr="003A62C4" w:rsidRDefault="000E10AB" w:rsidP="003A62C4">
            <w:pPr>
              <w:rPr>
                <w:sz w:val="22"/>
                <w:szCs w:val="22"/>
              </w:rPr>
            </w:pPr>
          </w:p>
        </w:tc>
      </w:tr>
      <w:tr w:rsidR="000E10AB" w:rsidRPr="003A62C4" w:rsidTr="00F922A1">
        <w:trPr>
          <w:trHeight w:val="344"/>
        </w:trPr>
        <w:tc>
          <w:tcPr>
            <w:tcW w:w="8233" w:type="dxa"/>
            <w:shd w:val="clear" w:color="auto" w:fill="D9D9D9"/>
          </w:tcPr>
          <w:p w:rsidR="000E10AB" w:rsidRPr="003A62C4" w:rsidRDefault="000E10AB" w:rsidP="003A62C4">
            <w:pPr>
              <w:jc w:val="both"/>
              <w:rPr>
                <w:b/>
                <w:sz w:val="22"/>
                <w:szCs w:val="22"/>
              </w:rPr>
            </w:pPr>
            <w:r>
              <w:rPr>
                <w:b/>
                <w:sz w:val="22"/>
              </w:rPr>
              <w:lastRenderedPageBreak/>
              <w:t>Член 7 — Допустими разходи</w:t>
            </w:r>
          </w:p>
        </w:tc>
        <w:tc>
          <w:tcPr>
            <w:tcW w:w="6379" w:type="dxa"/>
            <w:shd w:val="clear" w:color="auto" w:fill="D9D9D9"/>
          </w:tcPr>
          <w:p w:rsidR="000E10AB" w:rsidRPr="003A62C4" w:rsidRDefault="000E10AB" w:rsidP="003A62C4">
            <w:pPr>
              <w:rPr>
                <w:sz w:val="22"/>
                <w:szCs w:val="22"/>
              </w:rPr>
            </w:pPr>
          </w:p>
        </w:tc>
      </w:tr>
      <w:tr w:rsidR="000E10AB" w:rsidRPr="003A62C4" w:rsidTr="00895393">
        <w:trPr>
          <w:trHeight w:val="1101"/>
        </w:trPr>
        <w:tc>
          <w:tcPr>
            <w:tcW w:w="8233" w:type="dxa"/>
            <w:tcBorders>
              <w:bottom w:val="single" w:sz="4" w:space="0" w:color="auto"/>
            </w:tcBorders>
            <w:shd w:val="clear" w:color="auto" w:fill="auto"/>
          </w:tcPr>
          <w:p w:rsidR="00EF2592" w:rsidRPr="003A62C4" w:rsidRDefault="003A62C4" w:rsidP="003A62C4">
            <w:pPr>
              <w:jc w:val="both"/>
              <w:rPr>
                <w:sz w:val="22"/>
                <w:szCs w:val="22"/>
              </w:rPr>
            </w:pPr>
            <w:r>
              <w:rPr>
                <w:sz w:val="22"/>
              </w:rPr>
              <w:lastRenderedPageBreak/>
              <w:t>За изчисляването на интензитета на помощта:</w:t>
            </w:r>
          </w:p>
          <w:p w:rsidR="00EF2592" w:rsidRPr="003A62C4" w:rsidRDefault="00EF2592" w:rsidP="003A62C4">
            <w:pPr>
              <w:numPr>
                <w:ilvl w:val="0"/>
                <w:numId w:val="12"/>
              </w:numPr>
              <w:jc w:val="both"/>
              <w:rPr>
                <w:sz w:val="22"/>
                <w:szCs w:val="22"/>
              </w:rPr>
            </w:pPr>
            <w:r>
              <w:rPr>
                <w:sz w:val="22"/>
              </w:rPr>
              <w:t>Данните се събират преди приспадането на данъци и други такси.</w:t>
            </w:r>
          </w:p>
          <w:p w:rsidR="00EF2592" w:rsidRPr="003A62C4" w:rsidRDefault="00EF2592" w:rsidP="003A62C4">
            <w:pPr>
              <w:numPr>
                <w:ilvl w:val="0"/>
                <w:numId w:val="12"/>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EF2592" w:rsidRPr="003A62C4" w:rsidRDefault="00EF2592" w:rsidP="003A62C4">
            <w:pPr>
              <w:numPr>
                <w:ilvl w:val="0"/>
                <w:numId w:val="12"/>
              </w:numPr>
              <w:jc w:val="both"/>
              <w:rPr>
                <w:sz w:val="22"/>
                <w:szCs w:val="22"/>
              </w:rPr>
            </w:pPr>
            <w:r>
              <w:rPr>
                <w:sz w:val="22"/>
              </w:rPr>
              <w:t xml:space="preserve">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 </w:t>
            </w:r>
          </w:p>
          <w:p w:rsidR="00EF2592" w:rsidRPr="003A62C4" w:rsidRDefault="00EF2592" w:rsidP="003A62C4">
            <w:pPr>
              <w:numPr>
                <w:ilvl w:val="0"/>
                <w:numId w:val="12"/>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p>
          <w:p w:rsidR="00EF2592" w:rsidRPr="003A62C4" w:rsidRDefault="00EF2592" w:rsidP="003A62C4">
            <w:pPr>
              <w:numPr>
                <w:ilvl w:val="0"/>
                <w:numId w:val="12"/>
              </w:numPr>
              <w:autoSpaceDE w:val="0"/>
              <w:autoSpaceDN w:val="0"/>
              <w:adjustRightInd w:val="0"/>
              <w:jc w:val="both"/>
              <w:rPr>
                <w:sz w:val="22"/>
                <w:szCs w:val="22"/>
              </w:rPr>
            </w:pPr>
            <w:r>
              <w:rPr>
                <w:sz w:val="22"/>
              </w:rPr>
              <w:t>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EF2592" w:rsidRPr="003A62C4" w:rsidRDefault="00EF2592" w:rsidP="003A62C4">
            <w:pPr>
              <w:autoSpaceDE w:val="0"/>
              <w:autoSpaceDN w:val="0"/>
              <w:adjustRightInd w:val="0"/>
              <w:jc w:val="both"/>
              <w:rPr>
                <w:sz w:val="22"/>
                <w:szCs w:val="22"/>
              </w:rPr>
            </w:pPr>
            <w:r>
              <w:rPr>
                <w:sz w:val="22"/>
              </w:rPr>
              <w:t>Допустими разходи</w:t>
            </w:r>
          </w:p>
          <w:p w:rsidR="000E10AB" w:rsidRPr="003A62C4" w:rsidRDefault="00EF2592" w:rsidP="003A62C4">
            <w:pPr>
              <w:numPr>
                <w:ilvl w:val="0"/>
                <w:numId w:val="16"/>
              </w:numPr>
              <w:ind w:left="328" w:hanging="283"/>
              <w:jc w:val="both"/>
              <w:rPr>
                <w:sz w:val="22"/>
                <w:szCs w:val="22"/>
              </w:rPr>
            </w:pPr>
            <w:r>
              <w:rPr>
                <w:sz w:val="22"/>
              </w:rPr>
              <w:t xml:space="preserve">Допустими разходи, подкрепени с ясни, конкретни и актуални документи. </w:t>
            </w:r>
          </w:p>
        </w:tc>
        <w:tc>
          <w:tcPr>
            <w:tcW w:w="6379" w:type="dxa"/>
            <w:shd w:val="clear" w:color="auto" w:fill="auto"/>
          </w:tcPr>
          <w:p w:rsidR="000E10AB" w:rsidRPr="003A62C4" w:rsidRDefault="000E10AB" w:rsidP="003A62C4">
            <w:pPr>
              <w:rPr>
                <w:sz w:val="22"/>
                <w:szCs w:val="22"/>
              </w:rPr>
            </w:pPr>
          </w:p>
        </w:tc>
      </w:tr>
      <w:tr w:rsidR="000E10AB" w:rsidRPr="003A62C4" w:rsidTr="00F922A1">
        <w:trPr>
          <w:trHeight w:val="271"/>
        </w:trPr>
        <w:tc>
          <w:tcPr>
            <w:tcW w:w="8233" w:type="dxa"/>
            <w:shd w:val="clear" w:color="auto" w:fill="D9D9D9"/>
          </w:tcPr>
          <w:p w:rsidR="000E10AB" w:rsidRPr="003A62C4" w:rsidRDefault="000E10AB" w:rsidP="003A62C4">
            <w:pPr>
              <w:jc w:val="both"/>
              <w:rPr>
                <w:b/>
                <w:sz w:val="22"/>
                <w:szCs w:val="22"/>
              </w:rPr>
            </w:pPr>
            <w:r>
              <w:rPr>
                <w:b/>
                <w:sz w:val="22"/>
              </w:rPr>
              <w:t>Член 8 — Натрупване</w:t>
            </w:r>
          </w:p>
        </w:tc>
        <w:tc>
          <w:tcPr>
            <w:tcW w:w="6379" w:type="dxa"/>
            <w:shd w:val="clear" w:color="auto" w:fill="D9D9D9"/>
          </w:tcPr>
          <w:p w:rsidR="000E10AB" w:rsidRPr="003A62C4" w:rsidRDefault="000E10AB" w:rsidP="003A62C4">
            <w:pPr>
              <w:rPr>
                <w:sz w:val="22"/>
                <w:szCs w:val="22"/>
              </w:rPr>
            </w:pPr>
          </w:p>
        </w:tc>
      </w:tr>
      <w:tr w:rsidR="000E10AB" w:rsidRPr="003A62C4" w:rsidTr="00895393">
        <w:trPr>
          <w:trHeight w:val="271"/>
        </w:trPr>
        <w:tc>
          <w:tcPr>
            <w:tcW w:w="8233" w:type="dxa"/>
            <w:tcBorders>
              <w:bottom w:val="single" w:sz="4" w:space="0" w:color="auto"/>
            </w:tcBorders>
            <w:shd w:val="clear" w:color="auto" w:fill="auto"/>
          </w:tcPr>
          <w:p w:rsidR="00F5292F" w:rsidRPr="003D55CE" w:rsidRDefault="00F5292F" w:rsidP="003A62C4">
            <w:pPr>
              <w:numPr>
                <w:ilvl w:val="0"/>
                <w:numId w:val="13"/>
              </w:numPr>
              <w:jc w:val="both"/>
              <w:rPr>
                <w:sz w:val="22"/>
                <w:szCs w:val="22"/>
              </w:rPr>
            </w:pPr>
            <w:r w:rsidRPr="003D55CE">
              <w:rPr>
                <w:sz w:val="22"/>
                <w:szCs w:val="22"/>
              </w:rPr>
              <w:t xml:space="preserve">За праговете и максималните интензитети на помощта се взема предвид </w:t>
            </w:r>
            <w:r w:rsidRPr="003D55CE">
              <w:rPr>
                <w:b/>
                <w:sz w:val="22"/>
                <w:szCs w:val="22"/>
              </w:rPr>
              <w:t>общият размер</w:t>
            </w:r>
            <w:r w:rsidRPr="003D55CE">
              <w:rPr>
                <w:sz w:val="22"/>
                <w:szCs w:val="22"/>
              </w:rPr>
              <w:t xml:space="preserve"> на помощта (параграф 1).</w:t>
            </w:r>
          </w:p>
          <w:p w:rsidR="00F5292F" w:rsidRPr="003D55CE" w:rsidRDefault="00F5292F" w:rsidP="003A62C4">
            <w:pPr>
              <w:numPr>
                <w:ilvl w:val="0"/>
                <w:numId w:val="13"/>
              </w:numPr>
              <w:autoSpaceDE w:val="0"/>
              <w:autoSpaceDN w:val="0"/>
              <w:adjustRightInd w:val="0"/>
              <w:jc w:val="both"/>
              <w:rPr>
                <w:sz w:val="22"/>
                <w:szCs w:val="22"/>
              </w:rPr>
            </w:pPr>
            <w:r w:rsidRPr="003D55CE">
              <w:rPr>
                <w:sz w:val="22"/>
                <w:szCs w:val="22"/>
              </w:rPr>
              <w:t xml:space="preserve">Когато </w:t>
            </w:r>
            <w:r w:rsidRPr="003D55CE">
              <w:rPr>
                <w:b/>
                <w:sz w:val="22"/>
                <w:szCs w:val="22"/>
              </w:rPr>
              <w:t>финансиране от Съюза</w:t>
            </w:r>
            <w:r w:rsidRPr="003D55CE">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w:t>
            </w:r>
            <w:r w:rsidRPr="003D55CE">
              <w:rPr>
                <w:sz w:val="22"/>
                <w:szCs w:val="22"/>
              </w:rPr>
              <w:lastRenderedPageBreak/>
              <w:t>законодателството на Съюза (параграф 2).</w:t>
            </w:r>
          </w:p>
          <w:p w:rsidR="00F5292F" w:rsidRPr="003D55CE" w:rsidRDefault="00F5292F" w:rsidP="003A62C4">
            <w:pPr>
              <w:numPr>
                <w:ilvl w:val="0"/>
                <w:numId w:val="13"/>
              </w:numPr>
              <w:jc w:val="both"/>
              <w:rPr>
                <w:sz w:val="22"/>
                <w:szCs w:val="22"/>
              </w:rPr>
            </w:pPr>
            <w:r w:rsidRPr="003D55CE">
              <w:rPr>
                <w:sz w:val="22"/>
                <w:szCs w:val="22"/>
              </w:rPr>
              <w:t xml:space="preserve">Освободените от задължението за уведомяване помощи могат да се натрупват с всякаква друга държавна помощ, ако </w:t>
            </w:r>
            <w:r w:rsidRPr="003D55CE">
              <w:rPr>
                <w:b/>
                <w:sz w:val="22"/>
                <w:szCs w:val="22"/>
              </w:rPr>
              <w:t>установимите разходи са различни</w:t>
            </w:r>
            <w:r w:rsidRPr="003D55CE">
              <w:rPr>
                <w:sz w:val="22"/>
                <w:szCs w:val="22"/>
              </w:rPr>
              <w:t xml:space="preserve"> (параграф 3, буква а).</w:t>
            </w:r>
          </w:p>
          <w:p w:rsidR="00F5292F" w:rsidRPr="003D55CE" w:rsidRDefault="00F5292F" w:rsidP="003A62C4">
            <w:pPr>
              <w:numPr>
                <w:ilvl w:val="0"/>
                <w:numId w:val="13"/>
              </w:numPr>
              <w:jc w:val="both"/>
              <w:rPr>
                <w:sz w:val="22"/>
                <w:szCs w:val="22"/>
              </w:rPr>
            </w:pPr>
            <w:r w:rsidRPr="003D55CE">
              <w:rPr>
                <w:sz w:val="22"/>
                <w:szCs w:val="22"/>
              </w:rPr>
              <w:t xml:space="preserve">Не се допуска натрупване на освободени от задължението за уведомяване помощи с никаква друга помощ във връзка със </w:t>
            </w:r>
            <w:r w:rsidRPr="003D55CE">
              <w:rPr>
                <w:b/>
                <w:sz w:val="22"/>
                <w:szCs w:val="22"/>
              </w:rPr>
              <w:t>същите допустими разходи</w:t>
            </w:r>
            <w:r w:rsidRPr="003D55CE">
              <w:rPr>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F5292F" w:rsidRPr="003A62C4" w:rsidRDefault="00F5292F" w:rsidP="003A62C4">
            <w:pPr>
              <w:numPr>
                <w:ilvl w:val="0"/>
                <w:numId w:val="13"/>
              </w:numPr>
              <w:jc w:val="both"/>
              <w:rPr>
                <w:sz w:val="22"/>
                <w:szCs w:val="22"/>
              </w:rPr>
            </w:pPr>
            <w:r>
              <w:rPr>
                <w:sz w:val="22"/>
              </w:rPr>
              <w:t xml:space="preserve">Държавните помощи, освободени от задължението за уведомяване по силата на ОРГО, не могат да се натрупват с помощ </w:t>
            </w:r>
            <w:r>
              <w:rPr>
                <w:b/>
                <w:sz w:val="22"/>
              </w:rPr>
              <w:t>de minimis</w:t>
            </w:r>
            <w:r>
              <w:rPr>
                <w:sz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p w:rsidR="000E10AB" w:rsidRPr="003A62C4" w:rsidRDefault="00FE2996" w:rsidP="003A62C4">
            <w:pPr>
              <w:numPr>
                <w:ilvl w:val="0"/>
                <w:numId w:val="13"/>
              </w:numPr>
              <w:jc w:val="both"/>
              <w:rPr>
                <w:sz w:val="22"/>
                <w:szCs w:val="22"/>
              </w:rPr>
            </w:pPr>
            <w:r>
              <w:rPr>
                <w:sz w:val="22"/>
              </w:rPr>
              <w:t xml:space="preserve">Чрез </w:t>
            </w:r>
            <w:r>
              <w:rPr>
                <w:b/>
                <w:sz w:val="22"/>
              </w:rPr>
              <w:t>дерогация</w:t>
            </w:r>
            <w:r>
              <w:rPr>
                <w:sz w:val="22"/>
              </w:rPr>
              <w:t>, в съответствие с предвиденото в членове 33 и 34, помощите за работещи с увреждания могат да бъдат натрупвани с други помощи, които са освободени от задължението за уведомяване по силата на ОРГО, във връзка със същите допустими разходи, като бъде надхвърлен най-високият приложим праг, предвиден в ОРГО, ако това натрупване не води до интензитет на помощта, надхвърлящ 100 % от съответните разходи през който и да е период, за който са наети съответните работещи.</w:t>
            </w:r>
          </w:p>
        </w:tc>
        <w:tc>
          <w:tcPr>
            <w:tcW w:w="6379" w:type="dxa"/>
            <w:shd w:val="clear" w:color="auto" w:fill="auto"/>
          </w:tcPr>
          <w:p w:rsidR="000E10AB" w:rsidRPr="003A62C4" w:rsidRDefault="000E10AB" w:rsidP="003A62C4">
            <w:pPr>
              <w:rPr>
                <w:sz w:val="22"/>
                <w:szCs w:val="22"/>
              </w:rPr>
            </w:pPr>
          </w:p>
        </w:tc>
      </w:tr>
      <w:tr w:rsidR="00064269" w:rsidRPr="002B692E" w:rsidTr="00DF0CCA">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064269" w:rsidRPr="002B692E" w:rsidRDefault="00064269" w:rsidP="00064269">
            <w:pPr>
              <w:tabs>
                <w:tab w:val="num" w:pos="360"/>
              </w:tabs>
              <w:ind w:left="360" w:hanging="360"/>
              <w:jc w:val="both"/>
              <w:rPr>
                <w:b/>
                <w:sz w:val="22"/>
                <w:szCs w:val="22"/>
              </w:rPr>
            </w:pPr>
            <w:r>
              <w:rPr>
                <w:b/>
                <w:sz w:val="22"/>
              </w:rPr>
              <w:lastRenderedPageBreak/>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064269" w:rsidRPr="002B692E" w:rsidRDefault="00064269" w:rsidP="005C2735">
            <w:pPr>
              <w:rPr>
                <w:sz w:val="22"/>
                <w:szCs w:val="22"/>
              </w:rPr>
            </w:pPr>
          </w:p>
        </w:tc>
      </w:tr>
      <w:tr w:rsidR="00064269" w:rsidRPr="002B692E" w:rsidTr="00064269">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064269" w:rsidRPr="00DF0CCA" w:rsidRDefault="00064269" w:rsidP="00064269">
            <w:pPr>
              <w:numPr>
                <w:ilvl w:val="0"/>
                <w:numId w:val="21"/>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064269" w:rsidRPr="00DF0CCA" w:rsidRDefault="00064269" w:rsidP="00064269">
            <w:pPr>
              <w:numPr>
                <w:ilvl w:val="1"/>
                <w:numId w:val="22"/>
              </w:numPr>
              <w:autoSpaceDE w:val="0"/>
              <w:autoSpaceDN w:val="0"/>
              <w:adjustRightInd w:val="0"/>
              <w:ind w:left="754" w:hanging="426"/>
              <w:jc w:val="both"/>
              <w:rPr>
                <w:sz w:val="22"/>
                <w:szCs w:val="22"/>
              </w:rPr>
            </w:pPr>
            <w:r>
              <w:rPr>
                <w:sz w:val="22"/>
              </w:rPr>
              <w:t>обобщената информация (вж. член 11) или връзка, която предоставя достъп до нея;</w:t>
            </w:r>
          </w:p>
          <w:p w:rsidR="00064269" w:rsidRPr="00DF0CCA" w:rsidRDefault="00064269" w:rsidP="00064269">
            <w:pPr>
              <w:numPr>
                <w:ilvl w:val="1"/>
                <w:numId w:val="22"/>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064269" w:rsidRPr="00DF0CCA" w:rsidRDefault="00064269" w:rsidP="00064269">
            <w:pPr>
              <w:numPr>
                <w:ilvl w:val="1"/>
                <w:numId w:val="22"/>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064269" w:rsidRPr="00DF0CCA" w:rsidRDefault="00064269" w:rsidP="00064269">
            <w:pPr>
              <w:tabs>
                <w:tab w:val="num" w:pos="360"/>
              </w:tabs>
              <w:ind w:left="360" w:hanging="360"/>
              <w:jc w:val="both"/>
              <w:rPr>
                <w:sz w:val="22"/>
                <w:szCs w:val="22"/>
              </w:rPr>
            </w:pPr>
            <w:r>
              <w:rPr>
                <w:sz w:val="22"/>
              </w:rPr>
              <w:t xml:space="preserve">Що се отнася до помощта, предоставена в полза на проекти по цел „Европейско териториално сътрудничество“, информацията, посочена в настоящия параграф, </w:t>
            </w:r>
            <w:r>
              <w:rPr>
                <w:sz w:val="22"/>
              </w:rPr>
              <w:lastRenderedPageBreak/>
              <w:t>се помества на уебсайта на държавата членка, в която е разположен съответният управителен орган, съгласно определениет</w:t>
            </w:r>
            <w:r w:rsidR="00A97329">
              <w:rPr>
                <w:sz w:val="22"/>
              </w:rPr>
              <w:t>о в член 21 от Регламент (ЕС) №</w:t>
            </w:r>
            <w:r w:rsidR="00A97329">
              <w:rPr>
                <w:sz w:val="22"/>
                <w:lang w:val="en-GB"/>
              </w:rPr>
              <w:t> </w:t>
            </w:r>
            <w:r>
              <w:rPr>
                <w:sz w:val="22"/>
              </w:rPr>
              <w:t>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064269" w:rsidRPr="00DF0CCA" w:rsidRDefault="00064269" w:rsidP="00064269">
            <w:pPr>
              <w:numPr>
                <w:ilvl w:val="0"/>
                <w:numId w:val="21"/>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064269" w:rsidRPr="00DF0CCA" w:rsidRDefault="00064269" w:rsidP="00064269">
            <w:pPr>
              <w:numPr>
                <w:ilvl w:val="0"/>
                <w:numId w:val="23"/>
              </w:numPr>
              <w:autoSpaceDE w:val="0"/>
              <w:autoSpaceDN w:val="0"/>
              <w:adjustRightInd w:val="0"/>
              <w:jc w:val="both"/>
              <w:rPr>
                <w:sz w:val="22"/>
                <w:szCs w:val="22"/>
              </w:rPr>
            </w:pPr>
            <w:r>
              <w:rPr>
                <w:sz w:val="22"/>
              </w:rPr>
              <w:t>0,5—1;</w:t>
            </w:r>
          </w:p>
          <w:p w:rsidR="00064269" w:rsidRPr="00DF0CCA" w:rsidRDefault="00064269" w:rsidP="00064269">
            <w:pPr>
              <w:numPr>
                <w:ilvl w:val="0"/>
                <w:numId w:val="23"/>
              </w:numPr>
              <w:autoSpaceDE w:val="0"/>
              <w:autoSpaceDN w:val="0"/>
              <w:adjustRightInd w:val="0"/>
              <w:jc w:val="both"/>
              <w:rPr>
                <w:sz w:val="22"/>
                <w:szCs w:val="22"/>
              </w:rPr>
            </w:pPr>
            <w:r>
              <w:rPr>
                <w:sz w:val="22"/>
              </w:rPr>
              <w:t>1—2;</w:t>
            </w:r>
          </w:p>
          <w:p w:rsidR="00064269" w:rsidRPr="00DF0CCA" w:rsidRDefault="00064269" w:rsidP="00064269">
            <w:pPr>
              <w:numPr>
                <w:ilvl w:val="0"/>
                <w:numId w:val="23"/>
              </w:numPr>
              <w:autoSpaceDE w:val="0"/>
              <w:autoSpaceDN w:val="0"/>
              <w:adjustRightInd w:val="0"/>
              <w:jc w:val="both"/>
              <w:rPr>
                <w:sz w:val="22"/>
                <w:szCs w:val="22"/>
              </w:rPr>
            </w:pPr>
            <w:r>
              <w:rPr>
                <w:sz w:val="22"/>
              </w:rPr>
              <w:t>2—5;</w:t>
            </w:r>
          </w:p>
          <w:p w:rsidR="00064269" w:rsidRPr="00DF0CCA" w:rsidRDefault="00064269" w:rsidP="00064269">
            <w:pPr>
              <w:numPr>
                <w:ilvl w:val="0"/>
                <w:numId w:val="23"/>
              </w:numPr>
              <w:autoSpaceDE w:val="0"/>
              <w:autoSpaceDN w:val="0"/>
              <w:adjustRightInd w:val="0"/>
              <w:jc w:val="both"/>
              <w:rPr>
                <w:sz w:val="22"/>
                <w:szCs w:val="22"/>
              </w:rPr>
            </w:pPr>
            <w:r>
              <w:rPr>
                <w:sz w:val="22"/>
              </w:rPr>
              <w:t>5—10;</w:t>
            </w:r>
          </w:p>
          <w:p w:rsidR="00064269" w:rsidRPr="00DF0CCA" w:rsidRDefault="00064269" w:rsidP="00064269">
            <w:pPr>
              <w:numPr>
                <w:ilvl w:val="0"/>
                <w:numId w:val="23"/>
              </w:numPr>
              <w:autoSpaceDE w:val="0"/>
              <w:autoSpaceDN w:val="0"/>
              <w:adjustRightInd w:val="0"/>
              <w:jc w:val="both"/>
              <w:rPr>
                <w:sz w:val="22"/>
                <w:szCs w:val="22"/>
              </w:rPr>
            </w:pPr>
            <w:r>
              <w:rPr>
                <w:sz w:val="22"/>
              </w:rPr>
              <w:t>10—30; и</w:t>
            </w:r>
          </w:p>
          <w:p w:rsidR="00064269" w:rsidRPr="00DF0CCA" w:rsidRDefault="00064269" w:rsidP="00064269">
            <w:pPr>
              <w:numPr>
                <w:ilvl w:val="0"/>
                <w:numId w:val="23"/>
              </w:numPr>
              <w:autoSpaceDE w:val="0"/>
              <w:autoSpaceDN w:val="0"/>
              <w:adjustRightInd w:val="0"/>
              <w:jc w:val="both"/>
              <w:rPr>
                <w:sz w:val="22"/>
                <w:szCs w:val="22"/>
              </w:rPr>
            </w:pPr>
            <w:r>
              <w:rPr>
                <w:sz w:val="22"/>
              </w:rPr>
              <w:t>30 и повече.</w:t>
            </w:r>
          </w:p>
          <w:p w:rsidR="00064269" w:rsidRPr="00DF0CCA" w:rsidRDefault="00064269" w:rsidP="00064269">
            <w:pPr>
              <w:numPr>
                <w:ilvl w:val="0"/>
                <w:numId w:val="21"/>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064269" w:rsidRPr="00DF0CCA" w:rsidRDefault="00064269" w:rsidP="00064269">
            <w:pPr>
              <w:numPr>
                <w:ilvl w:val="0"/>
                <w:numId w:val="21"/>
              </w:numPr>
              <w:autoSpaceDE w:val="0"/>
              <w:autoSpaceDN w:val="0"/>
              <w:adjustRightInd w:val="0"/>
              <w:ind w:left="328" w:hanging="283"/>
              <w:jc w:val="both"/>
              <w:rPr>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4269" w:rsidRPr="00064269" w:rsidRDefault="00064269" w:rsidP="005C2735">
            <w:pPr>
              <w:rPr>
                <w:sz w:val="22"/>
                <w:szCs w:val="22"/>
              </w:rPr>
            </w:pPr>
          </w:p>
        </w:tc>
      </w:tr>
    </w:tbl>
    <w:p w:rsidR="00064269" w:rsidRDefault="00064269" w:rsidP="003A62C4">
      <w:pPr>
        <w:rPr>
          <w:b/>
          <w:sz w:val="22"/>
          <w:szCs w:val="22"/>
        </w:rPr>
      </w:pPr>
    </w:p>
    <w:p w:rsidR="007D461F" w:rsidRPr="003A62C4" w:rsidRDefault="007D461F" w:rsidP="003A62C4">
      <w:pPr>
        <w:rPr>
          <w:sz w:val="22"/>
          <w:szCs w:val="22"/>
        </w:rPr>
      </w:pPr>
      <w:r>
        <w:rPr>
          <w:b/>
        </w:rPr>
        <w:t>За определенията на понятията</w:t>
      </w:r>
      <w:r>
        <w:t>:</w:t>
      </w:r>
      <w:r>
        <w:rPr>
          <w:sz w:val="22"/>
        </w:rPr>
        <w:t xml:space="preserve"> член 2 (да се обърне внимание на новото определение на предприятие в затруднено положение).</w:t>
      </w:r>
    </w:p>
    <w:p w:rsidR="00D64EFF" w:rsidRPr="003A62C4" w:rsidRDefault="00D64EFF" w:rsidP="003A62C4">
      <w:pPr>
        <w:rPr>
          <w:sz w:val="22"/>
          <w:szCs w:val="22"/>
        </w:rPr>
      </w:pPr>
    </w:p>
    <w:p w:rsidR="007D461F" w:rsidRPr="00A97329" w:rsidRDefault="00064269" w:rsidP="003A62C4">
      <w:pPr>
        <w:rPr>
          <w:sz w:val="22"/>
          <w:szCs w:val="22"/>
        </w:rPr>
      </w:pPr>
      <w:r w:rsidRPr="00A97329">
        <w:rPr>
          <w:b/>
          <w:sz w:val="22"/>
          <w:szCs w:val="22"/>
        </w:rPr>
        <w:lastRenderedPageBreak/>
        <w:t>Докладване</w:t>
      </w:r>
      <w:r w:rsidRPr="00A97329">
        <w:rPr>
          <w:sz w:val="22"/>
          <w:szCs w:val="22"/>
        </w:rPr>
        <w:t>: член 11.</w:t>
      </w:r>
    </w:p>
    <w:p w:rsidR="007D461F" w:rsidRPr="00A97329" w:rsidRDefault="007D461F" w:rsidP="003A62C4">
      <w:pPr>
        <w:rPr>
          <w:sz w:val="22"/>
          <w:szCs w:val="22"/>
        </w:rPr>
      </w:pPr>
      <w:r w:rsidRPr="00A97329">
        <w:rPr>
          <w:b/>
          <w:sz w:val="22"/>
          <w:szCs w:val="22"/>
        </w:rPr>
        <w:t>Контрол:</w:t>
      </w:r>
      <w:r w:rsidRPr="00A97329">
        <w:rPr>
          <w:sz w:val="22"/>
          <w:szCs w:val="22"/>
        </w:rPr>
        <w:t xml:space="preserve"> член 12.</w:t>
      </w:r>
    </w:p>
    <w:p w:rsidR="007D461F" w:rsidRPr="00A97329" w:rsidRDefault="00DD57E1" w:rsidP="003A62C4">
      <w:pPr>
        <w:rPr>
          <w:sz w:val="22"/>
          <w:szCs w:val="22"/>
        </w:rPr>
      </w:pPr>
      <w:r w:rsidRPr="00A97329">
        <w:rPr>
          <w:b/>
          <w:sz w:val="22"/>
          <w:szCs w:val="22"/>
        </w:rPr>
        <w:t>Отмяна на груповото освобождаване</w:t>
      </w:r>
      <w:r w:rsidRPr="00A97329">
        <w:rPr>
          <w:sz w:val="22"/>
          <w:szCs w:val="22"/>
        </w:rPr>
        <w:t>: член 10.</w:t>
      </w:r>
    </w:p>
    <w:p w:rsidR="00F177AC" w:rsidRPr="003A62C4" w:rsidRDefault="00F177AC" w:rsidP="003A62C4">
      <w:pPr>
        <w:rPr>
          <w:sz w:val="22"/>
          <w:szCs w:val="22"/>
        </w:rPr>
      </w:pPr>
    </w:p>
    <w:p w:rsidR="00003D17" w:rsidRPr="003A62C4" w:rsidRDefault="00E002A5" w:rsidP="003A62C4">
      <w:pPr>
        <w:jc w:val="center"/>
        <w:rPr>
          <w:b/>
          <w:sz w:val="22"/>
          <w:szCs w:val="22"/>
          <w:u w:val="single"/>
        </w:rPr>
      </w:pPr>
      <w:r>
        <w:br w:type="page"/>
      </w:r>
      <w:r>
        <w:rPr>
          <w:b/>
          <w:sz w:val="22"/>
          <w:u w:val="single"/>
        </w:rPr>
        <w:lastRenderedPageBreak/>
        <w:t>Б. Специални условия за помощите за работещи в неравностойно положение и работещи с увреждания</w:t>
      </w:r>
    </w:p>
    <w:p w:rsidR="00003D17" w:rsidRPr="003A62C4" w:rsidRDefault="00003D17" w:rsidP="003A62C4">
      <w:pPr>
        <w:rPr>
          <w:sz w:val="22"/>
          <w:szCs w:val="22"/>
        </w:rPr>
      </w:pPr>
    </w:p>
    <w:p w:rsidR="00003D17" w:rsidRPr="003A62C4" w:rsidRDefault="00003D17" w:rsidP="003A62C4">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3A62C4" w:rsidTr="00895393">
        <w:trPr>
          <w:trHeight w:val="145"/>
        </w:trPr>
        <w:tc>
          <w:tcPr>
            <w:tcW w:w="2687" w:type="pct"/>
            <w:tcBorders>
              <w:bottom w:val="single" w:sz="4" w:space="0" w:color="auto"/>
            </w:tcBorders>
            <w:shd w:val="clear" w:color="auto" w:fill="333399"/>
          </w:tcPr>
          <w:p w:rsidR="00E36144" w:rsidRPr="003A62C4" w:rsidRDefault="00E36144" w:rsidP="003A62C4">
            <w:pPr>
              <w:ind w:left="360"/>
              <w:jc w:val="center"/>
              <w:rPr>
                <w:b/>
                <w:smallCaps/>
                <w:color w:val="FFFFFF"/>
                <w:sz w:val="22"/>
                <w:szCs w:val="22"/>
              </w:rPr>
            </w:pPr>
            <w:r>
              <w:rPr>
                <w:b/>
                <w:smallCaps/>
                <w:color w:val="FFFFFF"/>
                <w:sz w:val="22"/>
              </w:rPr>
              <w:t xml:space="preserve">Член 32 </w:t>
            </w:r>
          </w:p>
          <w:p w:rsidR="00BB080C" w:rsidRPr="003A62C4" w:rsidRDefault="00C00CD5" w:rsidP="003A62C4">
            <w:pPr>
              <w:ind w:left="360"/>
              <w:jc w:val="center"/>
              <w:rPr>
                <w:b/>
                <w:smallCaps/>
                <w:color w:val="FFFFFF"/>
                <w:sz w:val="22"/>
                <w:szCs w:val="22"/>
              </w:rPr>
            </w:pPr>
            <w:r>
              <w:rPr>
                <w:b/>
                <w:smallCaps/>
                <w:color w:val="FFFFFF"/>
                <w:sz w:val="22"/>
              </w:rPr>
              <w:t>Помощи за наемане на работещи в неравностойно положение под формата на субсидии за заплати</w:t>
            </w:r>
          </w:p>
        </w:tc>
        <w:tc>
          <w:tcPr>
            <w:tcW w:w="2313" w:type="pct"/>
            <w:shd w:val="clear" w:color="auto" w:fill="333399"/>
          </w:tcPr>
          <w:p w:rsidR="00BB080C" w:rsidRPr="003A62C4" w:rsidRDefault="00BB080C" w:rsidP="003A62C4">
            <w:pPr>
              <w:jc w:val="center"/>
              <w:rPr>
                <w:b/>
                <w:smallCaps/>
                <w:color w:val="FFFFFF"/>
                <w:sz w:val="22"/>
                <w:szCs w:val="22"/>
              </w:rPr>
            </w:pPr>
            <w:r>
              <w:rPr>
                <w:b/>
                <w:smallCaps/>
                <w:color w:val="FFFFFF"/>
                <w:sz w:val="22"/>
              </w:rPr>
              <w:t>Проверка на съответствието (OK?)</w:t>
            </w:r>
          </w:p>
        </w:tc>
      </w:tr>
      <w:tr w:rsidR="003A62C4" w:rsidRPr="003A62C4" w:rsidTr="00895393">
        <w:trPr>
          <w:trHeight w:val="850"/>
        </w:trPr>
        <w:tc>
          <w:tcPr>
            <w:tcW w:w="2687" w:type="pct"/>
            <w:shd w:val="clear" w:color="auto" w:fill="auto"/>
          </w:tcPr>
          <w:p w:rsidR="003A62C4" w:rsidRPr="003A62C4" w:rsidRDefault="003A62C4" w:rsidP="003A62C4">
            <w:pPr>
              <w:numPr>
                <w:ilvl w:val="0"/>
                <w:numId w:val="10"/>
              </w:numPr>
              <w:jc w:val="both"/>
              <w:rPr>
                <w:sz w:val="22"/>
                <w:szCs w:val="22"/>
              </w:rPr>
            </w:pPr>
            <w:r>
              <w:rPr>
                <w:sz w:val="22"/>
              </w:rPr>
              <w:t xml:space="preserve">Те са съвместими и освободени от задължението за уведомяване, ако са изпълнени общите условия за съвместимост и условията в този член (параграф 1). </w:t>
            </w:r>
          </w:p>
        </w:tc>
        <w:tc>
          <w:tcPr>
            <w:tcW w:w="2313" w:type="pct"/>
            <w:shd w:val="clear" w:color="auto" w:fill="auto"/>
          </w:tcPr>
          <w:p w:rsidR="003A62C4" w:rsidRPr="003A62C4" w:rsidRDefault="003A62C4" w:rsidP="003A62C4">
            <w:pPr>
              <w:rPr>
                <w:sz w:val="22"/>
                <w:szCs w:val="22"/>
              </w:rPr>
            </w:pPr>
          </w:p>
        </w:tc>
      </w:tr>
      <w:tr w:rsidR="003A62C4" w:rsidRPr="003A62C4" w:rsidTr="00895393">
        <w:trPr>
          <w:trHeight w:val="850"/>
        </w:trPr>
        <w:tc>
          <w:tcPr>
            <w:tcW w:w="2687" w:type="pct"/>
            <w:shd w:val="clear" w:color="auto" w:fill="auto"/>
          </w:tcPr>
          <w:p w:rsidR="003A62C4" w:rsidRPr="00A97329" w:rsidRDefault="003A62C4" w:rsidP="003A62C4">
            <w:pPr>
              <w:ind w:left="360"/>
              <w:jc w:val="both"/>
              <w:rPr>
                <w:sz w:val="22"/>
                <w:szCs w:val="22"/>
              </w:rPr>
            </w:pPr>
            <w:r w:rsidRPr="00A97329">
              <w:rPr>
                <w:b/>
                <w:sz w:val="22"/>
                <w:szCs w:val="22"/>
              </w:rPr>
              <w:t>Допустимите разходи</w:t>
            </w:r>
            <w:r w:rsidRPr="00A97329">
              <w:rPr>
                <w:sz w:val="22"/>
                <w:szCs w:val="22"/>
              </w:rPr>
              <w:t xml:space="preserve"> са разходите за заплати за най-много 12 месеца от момента на наемането на работещ в неравностойно положение. Когато съответният работещ е в силно неравностойно положение, допустимите разходи представляват разходите за заплати за най-много 24 месеца, считано от момента на назначението (параграф 2). </w:t>
            </w:r>
          </w:p>
        </w:tc>
        <w:tc>
          <w:tcPr>
            <w:tcW w:w="2313" w:type="pct"/>
            <w:shd w:val="clear" w:color="auto" w:fill="auto"/>
          </w:tcPr>
          <w:p w:rsidR="003A62C4" w:rsidRPr="003A62C4" w:rsidRDefault="003A62C4" w:rsidP="003A62C4">
            <w:pPr>
              <w:rPr>
                <w:sz w:val="22"/>
                <w:szCs w:val="22"/>
              </w:rPr>
            </w:pPr>
          </w:p>
        </w:tc>
      </w:tr>
      <w:tr w:rsidR="003A62C4" w:rsidRPr="003A62C4" w:rsidTr="00895393">
        <w:trPr>
          <w:trHeight w:val="850"/>
        </w:trPr>
        <w:tc>
          <w:tcPr>
            <w:tcW w:w="2687" w:type="pct"/>
            <w:shd w:val="clear" w:color="auto" w:fill="auto"/>
          </w:tcPr>
          <w:p w:rsidR="003A62C4" w:rsidRPr="00A97329" w:rsidRDefault="003A62C4" w:rsidP="003A62C4">
            <w:pPr>
              <w:numPr>
                <w:ilvl w:val="0"/>
                <w:numId w:val="10"/>
              </w:numPr>
              <w:jc w:val="both"/>
              <w:rPr>
                <w:sz w:val="22"/>
                <w:szCs w:val="22"/>
              </w:rPr>
            </w:pPr>
            <w:r w:rsidRPr="00A97329">
              <w:rPr>
                <w:b/>
                <w:sz w:val="22"/>
                <w:szCs w:val="22"/>
              </w:rPr>
              <w:t>Когато назначението не представлява нетно увеличение</w:t>
            </w:r>
            <w:r w:rsidRPr="00A97329">
              <w:rPr>
                <w:sz w:val="22"/>
                <w:szCs w:val="22"/>
              </w:rPr>
              <w:t xml:space="preserve"> на броя на персонала в съответното предприятие в сравнение със средния брой на персонала през последните дванадесет месеца, длъжността трябва да е била овакантена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на съкращаване на персонал (параграф 3).</w:t>
            </w:r>
          </w:p>
        </w:tc>
        <w:tc>
          <w:tcPr>
            <w:tcW w:w="2313" w:type="pct"/>
            <w:shd w:val="clear" w:color="auto" w:fill="auto"/>
          </w:tcPr>
          <w:p w:rsidR="003A62C4" w:rsidRPr="003A62C4" w:rsidRDefault="003A62C4" w:rsidP="003A62C4">
            <w:pPr>
              <w:rPr>
                <w:sz w:val="22"/>
                <w:szCs w:val="22"/>
              </w:rPr>
            </w:pPr>
          </w:p>
        </w:tc>
      </w:tr>
      <w:tr w:rsidR="003A62C4" w:rsidRPr="003A62C4" w:rsidTr="00895393">
        <w:trPr>
          <w:trHeight w:val="850"/>
        </w:trPr>
        <w:tc>
          <w:tcPr>
            <w:tcW w:w="2687" w:type="pct"/>
            <w:shd w:val="clear" w:color="auto" w:fill="auto"/>
          </w:tcPr>
          <w:p w:rsidR="003A62C4" w:rsidRPr="00A97329" w:rsidRDefault="003A62C4" w:rsidP="003A62C4">
            <w:pPr>
              <w:numPr>
                <w:ilvl w:val="0"/>
                <w:numId w:val="10"/>
              </w:numPr>
              <w:jc w:val="both"/>
              <w:rPr>
                <w:sz w:val="22"/>
                <w:szCs w:val="22"/>
              </w:rPr>
            </w:pPr>
            <w:r w:rsidRPr="00A97329">
              <w:rPr>
                <w:sz w:val="22"/>
                <w:szCs w:val="22"/>
              </w:rPr>
              <w:t xml:space="preserve">Освен в случай на правомерно уволнение поради извършено нарушение, работещите в неравностойно положение </w:t>
            </w:r>
            <w:r w:rsidRPr="00A97329">
              <w:rPr>
                <w:b/>
                <w:sz w:val="22"/>
                <w:szCs w:val="22"/>
              </w:rPr>
              <w:t>имат право на непрекъсната заетост</w:t>
            </w:r>
            <w:r w:rsidRPr="00A97329">
              <w:rPr>
                <w:sz w:val="22"/>
                <w:szCs w:val="22"/>
              </w:rPr>
              <w:t xml:space="preserve"> за минимален период в съответствие с националното законодателство или колективните споразумения в областта на трудовите договори (параграф 4).</w:t>
            </w:r>
          </w:p>
        </w:tc>
        <w:tc>
          <w:tcPr>
            <w:tcW w:w="2313" w:type="pct"/>
            <w:shd w:val="clear" w:color="auto" w:fill="auto"/>
          </w:tcPr>
          <w:p w:rsidR="003A62C4" w:rsidRPr="003A62C4" w:rsidRDefault="003A62C4" w:rsidP="003A62C4">
            <w:pPr>
              <w:rPr>
                <w:sz w:val="22"/>
                <w:szCs w:val="22"/>
              </w:rPr>
            </w:pPr>
          </w:p>
        </w:tc>
      </w:tr>
      <w:tr w:rsidR="003A62C4" w:rsidRPr="003A62C4" w:rsidTr="00895393">
        <w:trPr>
          <w:trHeight w:val="850"/>
        </w:trPr>
        <w:tc>
          <w:tcPr>
            <w:tcW w:w="2687" w:type="pct"/>
            <w:shd w:val="clear" w:color="auto" w:fill="auto"/>
          </w:tcPr>
          <w:p w:rsidR="003A62C4" w:rsidRPr="003A62C4" w:rsidRDefault="003A62C4" w:rsidP="003A62C4">
            <w:pPr>
              <w:numPr>
                <w:ilvl w:val="0"/>
                <w:numId w:val="10"/>
              </w:numPr>
              <w:jc w:val="both"/>
              <w:rPr>
                <w:sz w:val="22"/>
                <w:szCs w:val="22"/>
              </w:rPr>
            </w:pPr>
            <w:r>
              <w:rPr>
                <w:sz w:val="22"/>
              </w:rPr>
              <w:t>Ако периодът на заетост е по-кратък от 12 месеца или от 24 месеца за работещите в силно неравностойно положение, помощта се намалява пропорционално (параграф 5).</w:t>
            </w:r>
          </w:p>
        </w:tc>
        <w:tc>
          <w:tcPr>
            <w:tcW w:w="2313" w:type="pct"/>
            <w:shd w:val="clear" w:color="auto" w:fill="auto"/>
          </w:tcPr>
          <w:p w:rsidR="003A62C4" w:rsidRPr="003A62C4" w:rsidRDefault="003A62C4" w:rsidP="003A62C4">
            <w:pPr>
              <w:rPr>
                <w:sz w:val="22"/>
                <w:szCs w:val="22"/>
              </w:rPr>
            </w:pPr>
          </w:p>
        </w:tc>
      </w:tr>
      <w:tr w:rsidR="003A62C4" w:rsidRPr="003A62C4" w:rsidTr="00895393">
        <w:trPr>
          <w:trHeight w:val="850"/>
        </w:trPr>
        <w:tc>
          <w:tcPr>
            <w:tcW w:w="2687" w:type="pct"/>
            <w:shd w:val="clear" w:color="auto" w:fill="auto"/>
          </w:tcPr>
          <w:p w:rsidR="003A62C4" w:rsidRPr="00A97329" w:rsidRDefault="003A62C4" w:rsidP="003A62C4">
            <w:pPr>
              <w:numPr>
                <w:ilvl w:val="0"/>
                <w:numId w:val="10"/>
              </w:numPr>
              <w:jc w:val="both"/>
              <w:rPr>
                <w:sz w:val="22"/>
                <w:szCs w:val="22"/>
              </w:rPr>
            </w:pPr>
            <w:r w:rsidRPr="00A97329">
              <w:rPr>
                <w:b/>
                <w:sz w:val="22"/>
                <w:szCs w:val="22"/>
              </w:rPr>
              <w:lastRenderedPageBreak/>
              <w:t>Интензитетът на помощта</w:t>
            </w:r>
            <w:r w:rsidR="00C01462">
              <w:rPr>
                <w:sz w:val="22"/>
                <w:szCs w:val="22"/>
              </w:rPr>
              <w:t xml:space="preserve"> не надхвърля 50</w:t>
            </w:r>
            <w:r w:rsidR="00C01462">
              <w:rPr>
                <w:sz w:val="22"/>
                <w:szCs w:val="22"/>
                <w:lang w:val="en-GB"/>
              </w:rPr>
              <w:t> </w:t>
            </w:r>
            <w:r w:rsidRPr="00A97329">
              <w:rPr>
                <w:sz w:val="22"/>
                <w:szCs w:val="22"/>
              </w:rPr>
              <w:t>% от допустимите разходи (параграф 6).</w:t>
            </w:r>
          </w:p>
        </w:tc>
        <w:tc>
          <w:tcPr>
            <w:tcW w:w="2313" w:type="pct"/>
            <w:shd w:val="clear" w:color="auto" w:fill="auto"/>
          </w:tcPr>
          <w:p w:rsidR="003A62C4" w:rsidRPr="003A62C4" w:rsidRDefault="003A62C4" w:rsidP="003A62C4">
            <w:pPr>
              <w:rPr>
                <w:sz w:val="22"/>
                <w:szCs w:val="22"/>
              </w:rPr>
            </w:pPr>
          </w:p>
        </w:tc>
      </w:tr>
    </w:tbl>
    <w:p w:rsidR="00E002A5" w:rsidRPr="00A97329" w:rsidRDefault="00E002A5" w:rsidP="003A62C4">
      <w:pPr>
        <w:rPr>
          <w:sz w:val="16"/>
          <w:szCs w:val="16"/>
        </w:rPr>
      </w:pPr>
    </w:p>
    <w:p w:rsidR="00593387" w:rsidRPr="00A97329" w:rsidRDefault="00593387" w:rsidP="003A62C4">
      <w:pPr>
        <w:rPr>
          <w:sz w:val="16"/>
          <w:szCs w:val="16"/>
        </w:rPr>
      </w:pPr>
    </w:p>
    <w:p w:rsidR="00E36144" w:rsidRPr="00A97329" w:rsidRDefault="00E36144" w:rsidP="003A62C4">
      <w:pPr>
        <w:rPr>
          <w:sz w:val="16"/>
          <w:szCs w:val="16"/>
        </w:rPr>
      </w:pPr>
    </w:p>
    <w:p w:rsidR="008108E1" w:rsidRPr="00A97329" w:rsidRDefault="008108E1" w:rsidP="003A62C4">
      <w:pPr>
        <w:rPr>
          <w:b/>
          <w:sz w:val="16"/>
          <w:szCs w:val="16"/>
          <w:u w:val="single"/>
        </w:rPr>
      </w:pPr>
    </w:p>
    <w:p w:rsidR="003A62C4" w:rsidRPr="00A97329" w:rsidRDefault="003A62C4" w:rsidP="003A62C4">
      <w:pPr>
        <w:rPr>
          <w:b/>
          <w:sz w:val="16"/>
          <w:szCs w:val="16"/>
          <w:u w:val="single"/>
        </w:rPr>
      </w:pPr>
    </w:p>
    <w:p w:rsidR="003A62C4" w:rsidRPr="00A97329" w:rsidRDefault="003A62C4" w:rsidP="003A62C4">
      <w:pPr>
        <w:rPr>
          <w:b/>
          <w:sz w:val="16"/>
          <w:szCs w:val="16"/>
          <w:u w:val="single"/>
        </w:rPr>
      </w:pPr>
    </w:p>
    <w:p w:rsidR="003A62C4" w:rsidRPr="00A97329" w:rsidRDefault="003A62C4" w:rsidP="003A62C4">
      <w:pPr>
        <w:rPr>
          <w:b/>
          <w:sz w:val="16"/>
          <w:szCs w:val="16"/>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070BBF" w:rsidRPr="003A62C4" w:rsidTr="00070BBF">
        <w:tc>
          <w:tcPr>
            <w:tcW w:w="2602" w:type="pct"/>
            <w:tcBorders>
              <w:top w:val="single" w:sz="4" w:space="0" w:color="auto"/>
              <w:left w:val="single" w:sz="4" w:space="0" w:color="auto"/>
              <w:bottom w:val="single" w:sz="4" w:space="0" w:color="auto"/>
              <w:right w:val="single" w:sz="4" w:space="0" w:color="auto"/>
            </w:tcBorders>
            <w:shd w:val="clear" w:color="auto" w:fill="333399"/>
            <w:hideMark/>
          </w:tcPr>
          <w:p w:rsidR="00E36144" w:rsidRPr="003A62C4" w:rsidRDefault="00E36144" w:rsidP="003A62C4">
            <w:pPr>
              <w:ind w:left="360"/>
              <w:jc w:val="center"/>
              <w:rPr>
                <w:b/>
                <w:smallCaps/>
                <w:color w:val="FFFFFF"/>
                <w:sz w:val="22"/>
                <w:szCs w:val="22"/>
              </w:rPr>
            </w:pPr>
            <w:r>
              <w:rPr>
                <w:b/>
                <w:smallCaps/>
                <w:color w:val="FFFFFF"/>
                <w:sz w:val="22"/>
              </w:rPr>
              <w:t>Член 33</w:t>
            </w:r>
          </w:p>
          <w:p w:rsidR="00070BBF" w:rsidRPr="003A62C4" w:rsidRDefault="00070BBF" w:rsidP="003A62C4">
            <w:pPr>
              <w:ind w:left="360"/>
              <w:jc w:val="center"/>
              <w:rPr>
                <w:sz w:val="22"/>
                <w:szCs w:val="22"/>
              </w:rPr>
            </w:pPr>
            <w:r>
              <w:rPr>
                <w:b/>
                <w:smallCaps/>
                <w:color w:val="FFFFFF"/>
                <w:sz w:val="22"/>
              </w:rPr>
              <w:t>Помощи за наемане на работещи с увреждания под формата на субсидии за заплати</w:t>
            </w:r>
          </w:p>
        </w:tc>
        <w:tc>
          <w:tcPr>
            <w:tcW w:w="2398" w:type="pct"/>
            <w:tcBorders>
              <w:top w:val="single" w:sz="4" w:space="0" w:color="auto"/>
              <w:left w:val="single" w:sz="4" w:space="0" w:color="auto"/>
              <w:bottom w:val="single" w:sz="4" w:space="0" w:color="auto"/>
              <w:right w:val="single" w:sz="4" w:space="0" w:color="auto"/>
            </w:tcBorders>
            <w:shd w:val="clear" w:color="auto" w:fill="333399"/>
            <w:hideMark/>
          </w:tcPr>
          <w:p w:rsidR="00070BBF" w:rsidRPr="003A62C4" w:rsidRDefault="00070BBF" w:rsidP="003A62C4">
            <w:pPr>
              <w:jc w:val="center"/>
              <w:rPr>
                <w:sz w:val="22"/>
                <w:szCs w:val="22"/>
              </w:rPr>
            </w:pPr>
            <w:r>
              <w:rPr>
                <w:b/>
                <w:smallCaps/>
                <w:color w:val="FFFFFF"/>
                <w:sz w:val="22"/>
              </w:rPr>
              <w:t>Проверка на съответствието (OK?)</w:t>
            </w:r>
          </w:p>
        </w:tc>
      </w:tr>
      <w:tr w:rsidR="000067B2" w:rsidRPr="003A62C4" w:rsidTr="00070BBF">
        <w:tc>
          <w:tcPr>
            <w:tcW w:w="2602" w:type="pct"/>
            <w:tcBorders>
              <w:top w:val="single" w:sz="4" w:space="0" w:color="auto"/>
              <w:left w:val="single" w:sz="4" w:space="0" w:color="auto"/>
              <w:bottom w:val="single" w:sz="4" w:space="0" w:color="auto"/>
              <w:right w:val="single" w:sz="4" w:space="0" w:color="auto"/>
            </w:tcBorders>
          </w:tcPr>
          <w:p w:rsidR="000067B2" w:rsidRPr="00A97329" w:rsidRDefault="000067B2" w:rsidP="000067B2">
            <w:pPr>
              <w:numPr>
                <w:ilvl w:val="0"/>
                <w:numId w:val="14"/>
              </w:numPr>
              <w:jc w:val="both"/>
              <w:rPr>
                <w:spacing w:val="-8"/>
                <w:sz w:val="22"/>
                <w:szCs w:val="22"/>
              </w:rPr>
            </w:pPr>
            <w:r w:rsidRPr="00A97329">
              <w:rPr>
                <w:spacing w:val="-8"/>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98" w:type="pct"/>
            <w:tcBorders>
              <w:top w:val="single" w:sz="4" w:space="0" w:color="auto"/>
              <w:left w:val="single" w:sz="4" w:space="0" w:color="auto"/>
              <w:bottom w:val="single" w:sz="4" w:space="0" w:color="auto"/>
              <w:right w:val="single" w:sz="4" w:space="0" w:color="auto"/>
            </w:tcBorders>
          </w:tcPr>
          <w:p w:rsidR="000067B2" w:rsidRPr="003A62C4" w:rsidRDefault="000067B2" w:rsidP="003A62C4">
            <w:pPr>
              <w:rPr>
                <w:sz w:val="22"/>
                <w:szCs w:val="22"/>
              </w:rPr>
            </w:pPr>
          </w:p>
        </w:tc>
      </w:tr>
      <w:tr w:rsidR="000067B2" w:rsidRPr="003A62C4" w:rsidTr="00070BBF">
        <w:tc>
          <w:tcPr>
            <w:tcW w:w="2602" w:type="pct"/>
            <w:tcBorders>
              <w:top w:val="single" w:sz="4" w:space="0" w:color="auto"/>
              <w:left w:val="single" w:sz="4" w:space="0" w:color="auto"/>
              <w:bottom w:val="single" w:sz="4" w:space="0" w:color="auto"/>
              <w:right w:val="single" w:sz="4" w:space="0" w:color="auto"/>
            </w:tcBorders>
          </w:tcPr>
          <w:p w:rsidR="000067B2" w:rsidRPr="00A97329" w:rsidRDefault="000067B2" w:rsidP="000067B2">
            <w:pPr>
              <w:numPr>
                <w:ilvl w:val="0"/>
                <w:numId w:val="14"/>
              </w:numPr>
              <w:jc w:val="both"/>
              <w:rPr>
                <w:sz w:val="22"/>
                <w:szCs w:val="22"/>
              </w:rPr>
            </w:pPr>
            <w:r w:rsidRPr="00A97329">
              <w:rPr>
                <w:b/>
                <w:sz w:val="22"/>
                <w:szCs w:val="22"/>
              </w:rPr>
              <w:t>Допустимите разходи</w:t>
            </w:r>
            <w:r w:rsidRPr="00A97329">
              <w:rPr>
                <w:sz w:val="22"/>
                <w:szCs w:val="22"/>
              </w:rPr>
              <w:t xml:space="preserve"> са разходите за заплати за периода, през който са наети работещите с увреждания (параграф 2).</w:t>
            </w:r>
          </w:p>
        </w:tc>
        <w:tc>
          <w:tcPr>
            <w:tcW w:w="2398" w:type="pct"/>
            <w:tcBorders>
              <w:top w:val="single" w:sz="4" w:space="0" w:color="auto"/>
              <w:left w:val="single" w:sz="4" w:space="0" w:color="auto"/>
              <w:bottom w:val="single" w:sz="4" w:space="0" w:color="auto"/>
              <w:right w:val="single" w:sz="4" w:space="0" w:color="auto"/>
            </w:tcBorders>
          </w:tcPr>
          <w:p w:rsidR="000067B2" w:rsidRPr="003A62C4" w:rsidRDefault="000067B2" w:rsidP="003A62C4">
            <w:pPr>
              <w:rPr>
                <w:sz w:val="22"/>
                <w:szCs w:val="22"/>
              </w:rPr>
            </w:pPr>
          </w:p>
        </w:tc>
      </w:tr>
      <w:tr w:rsidR="000067B2" w:rsidRPr="003A62C4" w:rsidTr="00070BBF">
        <w:tc>
          <w:tcPr>
            <w:tcW w:w="2602" w:type="pct"/>
            <w:tcBorders>
              <w:top w:val="single" w:sz="4" w:space="0" w:color="auto"/>
              <w:left w:val="single" w:sz="4" w:space="0" w:color="auto"/>
              <w:bottom w:val="single" w:sz="4" w:space="0" w:color="auto"/>
              <w:right w:val="single" w:sz="4" w:space="0" w:color="auto"/>
            </w:tcBorders>
          </w:tcPr>
          <w:p w:rsidR="000067B2" w:rsidRPr="00A97329" w:rsidRDefault="000067B2" w:rsidP="00AA1B68">
            <w:pPr>
              <w:numPr>
                <w:ilvl w:val="0"/>
                <w:numId w:val="14"/>
              </w:numPr>
              <w:jc w:val="both"/>
              <w:rPr>
                <w:sz w:val="22"/>
                <w:szCs w:val="22"/>
              </w:rPr>
            </w:pPr>
            <w:r w:rsidRPr="00A97329">
              <w:rPr>
                <w:b/>
                <w:sz w:val="22"/>
                <w:szCs w:val="22"/>
              </w:rPr>
              <w:t>Когато назначението не представлява нетно увеличение</w:t>
            </w:r>
            <w:r w:rsidRPr="00A97329">
              <w:rPr>
                <w:sz w:val="22"/>
                <w:szCs w:val="22"/>
              </w:rPr>
              <w:t xml:space="preserve"> на броя на персонала в съответното предприятие в сравнение със средния брой на персонала през последните дванадесет месеца, длъжността трябва да е била овакантена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на съкращаване на персонал (параграф 3).</w:t>
            </w:r>
          </w:p>
        </w:tc>
        <w:tc>
          <w:tcPr>
            <w:tcW w:w="2398" w:type="pct"/>
            <w:tcBorders>
              <w:top w:val="single" w:sz="4" w:space="0" w:color="auto"/>
              <w:left w:val="single" w:sz="4" w:space="0" w:color="auto"/>
              <w:bottom w:val="single" w:sz="4" w:space="0" w:color="auto"/>
              <w:right w:val="single" w:sz="4" w:space="0" w:color="auto"/>
            </w:tcBorders>
          </w:tcPr>
          <w:p w:rsidR="000067B2" w:rsidRPr="003A62C4" w:rsidRDefault="000067B2" w:rsidP="003A62C4">
            <w:pPr>
              <w:rPr>
                <w:sz w:val="22"/>
                <w:szCs w:val="22"/>
              </w:rPr>
            </w:pPr>
          </w:p>
        </w:tc>
      </w:tr>
      <w:tr w:rsidR="000067B2" w:rsidRPr="003A62C4" w:rsidTr="00070BBF">
        <w:tc>
          <w:tcPr>
            <w:tcW w:w="2602" w:type="pct"/>
            <w:tcBorders>
              <w:top w:val="single" w:sz="4" w:space="0" w:color="auto"/>
              <w:left w:val="single" w:sz="4" w:space="0" w:color="auto"/>
              <w:bottom w:val="single" w:sz="4" w:space="0" w:color="auto"/>
              <w:right w:val="single" w:sz="4" w:space="0" w:color="auto"/>
            </w:tcBorders>
          </w:tcPr>
          <w:p w:rsidR="000067B2" w:rsidRPr="002A35F6" w:rsidRDefault="000067B2" w:rsidP="002A35F6">
            <w:pPr>
              <w:numPr>
                <w:ilvl w:val="0"/>
                <w:numId w:val="14"/>
              </w:numPr>
              <w:jc w:val="both"/>
              <w:rPr>
                <w:sz w:val="22"/>
                <w:szCs w:val="22"/>
              </w:rPr>
            </w:pPr>
            <w:r>
              <w:rPr>
                <w:sz w:val="22"/>
              </w:rPr>
              <w:t xml:space="preserve">Освен в случай на правомерно уволнение поради извършено нарушение, </w:t>
            </w:r>
            <w:r w:rsidRPr="00A97329">
              <w:rPr>
                <w:sz w:val="22"/>
                <w:szCs w:val="22"/>
              </w:rPr>
              <w:t xml:space="preserve">работещите с увреждания </w:t>
            </w:r>
            <w:r w:rsidRPr="00A97329">
              <w:rPr>
                <w:b/>
                <w:sz w:val="22"/>
                <w:szCs w:val="22"/>
              </w:rPr>
              <w:t>имат право на непрекъсната заетост</w:t>
            </w:r>
            <w:r w:rsidRPr="00A97329">
              <w:rPr>
                <w:sz w:val="22"/>
                <w:szCs w:val="22"/>
              </w:rPr>
              <w:t xml:space="preserve"> за минимален период в съответствие с националното законодателство или колективните споразумения, които са правнообвързващи</w:t>
            </w:r>
            <w:r>
              <w:rPr>
                <w:sz w:val="22"/>
              </w:rPr>
              <w:t xml:space="preserve"> за предприятието и уреждат трудовите договори (параграф 4).</w:t>
            </w:r>
          </w:p>
        </w:tc>
        <w:tc>
          <w:tcPr>
            <w:tcW w:w="2398" w:type="pct"/>
            <w:tcBorders>
              <w:top w:val="single" w:sz="4" w:space="0" w:color="auto"/>
              <w:left w:val="single" w:sz="4" w:space="0" w:color="auto"/>
              <w:bottom w:val="single" w:sz="4" w:space="0" w:color="auto"/>
              <w:right w:val="single" w:sz="4" w:space="0" w:color="auto"/>
            </w:tcBorders>
          </w:tcPr>
          <w:p w:rsidR="000067B2" w:rsidRPr="003A62C4" w:rsidRDefault="000067B2" w:rsidP="003A62C4">
            <w:pPr>
              <w:rPr>
                <w:sz w:val="22"/>
                <w:szCs w:val="22"/>
              </w:rPr>
            </w:pPr>
          </w:p>
        </w:tc>
      </w:tr>
      <w:tr w:rsidR="000067B2" w:rsidRPr="003A62C4" w:rsidTr="00070BBF">
        <w:tc>
          <w:tcPr>
            <w:tcW w:w="2602" w:type="pct"/>
            <w:tcBorders>
              <w:top w:val="single" w:sz="4" w:space="0" w:color="auto"/>
              <w:left w:val="single" w:sz="4" w:space="0" w:color="auto"/>
              <w:bottom w:val="single" w:sz="4" w:space="0" w:color="auto"/>
              <w:right w:val="single" w:sz="4" w:space="0" w:color="auto"/>
            </w:tcBorders>
          </w:tcPr>
          <w:p w:rsidR="000067B2" w:rsidRPr="00A97329" w:rsidRDefault="000067B2" w:rsidP="003A62C4">
            <w:pPr>
              <w:numPr>
                <w:ilvl w:val="0"/>
                <w:numId w:val="14"/>
              </w:numPr>
              <w:jc w:val="both"/>
              <w:rPr>
                <w:sz w:val="22"/>
                <w:szCs w:val="22"/>
              </w:rPr>
            </w:pPr>
            <w:r w:rsidRPr="00A97329">
              <w:rPr>
                <w:b/>
                <w:sz w:val="22"/>
                <w:szCs w:val="22"/>
              </w:rPr>
              <w:t>Интензитетът на помощта</w:t>
            </w:r>
            <w:r w:rsidRPr="00A97329">
              <w:rPr>
                <w:sz w:val="22"/>
                <w:szCs w:val="22"/>
              </w:rPr>
              <w:t xml:space="preserve"> не надхвърля 75 % от допустимите разходи</w:t>
            </w:r>
            <w:r w:rsidRPr="00A97329">
              <w:rPr>
                <w:rFonts w:ascii="EUAlbertina-Regu" w:hAnsi="EUAlbertina-Regu"/>
                <w:sz w:val="22"/>
                <w:szCs w:val="22"/>
              </w:rPr>
              <w:t xml:space="preserve"> </w:t>
            </w:r>
            <w:r w:rsidRPr="00A97329">
              <w:rPr>
                <w:sz w:val="22"/>
                <w:szCs w:val="22"/>
              </w:rPr>
              <w:t>(параграф 5).</w:t>
            </w:r>
          </w:p>
        </w:tc>
        <w:tc>
          <w:tcPr>
            <w:tcW w:w="2398" w:type="pct"/>
            <w:tcBorders>
              <w:top w:val="single" w:sz="4" w:space="0" w:color="auto"/>
              <w:left w:val="single" w:sz="4" w:space="0" w:color="auto"/>
              <w:bottom w:val="single" w:sz="4" w:space="0" w:color="auto"/>
              <w:right w:val="single" w:sz="4" w:space="0" w:color="auto"/>
            </w:tcBorders>
          </w:tcPr>
          <w:p w:rsidR="000067B2" w:rsidRPr="003A62C4" w:rsidRDefault="000067B2" w:rsidP="003A62C4">
            <w:pPr>
              <w:rPr>
                <w:sz w:val="22"/>
                <w:szCs w:val="22"/>
              </w:rPr>
            </w:pPr>
          </w:p>
        </w:tc>
      </w:tr>
    </w:tbl>
    <w:p w:rsidR="00070BBF" w:rsidRPr="003A62C4" w:rsidRDefault="00070BBF" w:rsidP="003A62C4">
      <w:pPr>
        <w:jc w:val="center"/>
        <w:rPr>
          <w:sz w:val="22"/>
          <w:szCs w:val="22"/>
        </w:rPr>
      </w:pPr>
    </w:p>
    <w:p w:rsidR="00070BBF" w:rsidRPr="003A62C4" w:rsidRDefault="00070BBF" w:rsidP="003A62C4">
      <w:pPr>
        <w:rPr>
          <w:sz w:val="22"/>
          <w:szCs w:val="22"/>
        </w:rPr>
      </w:pPr>
    </w:p>
    <w:p w:rsidR="00070BBF" w:rsidRPr="003A62C4" w:rsidRDefault="00070BBF" w:rsidP="003A62C4">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070BBF" w:rsidRPr="003A62C4" w:rsidTr="00D71046">
        <w:tc>
          <w:tcPr>
            <w:tcW w:w="2602" w:type="pct"/>
            <w:tcBorders>
              <w:top w:val="single" w:sz="4" w:space="0" w:color="auto"/>
              <w:left w:val="single" w:sz="4" w:space="0" w:color="auto"/>
              <w:bottom w:val="single" w:sz="4" w:space="0" w:color="auto"/>
              <w:right w:val="single" w:sz="4" w:space="0" w:color="auto"/>
            </w:tcBorders>
            <w:shd w:val="clear" w:color="auto" w:fill="333399"/>
            <w:hideMark/>
          </w:tcPr>
          <w:p w:rsidR="00E36144" w:rsidRPr="003A62C4" w:rsidRDefault="00E36144" w:rsidP="003A62C4">
            <w:pPr>
              <w:ind w:left="360"/>
              <w:jc w:val="center"/>
              <w:rPr>
                <w:b/>
                <w:smallCaps/>
                <w:color w:val="FFFFFF"/>
                <w:sz w:val="22"/>
                <w:szCs w:val="22"/>
              </w:rPr>
            </w:pPr>
            <w:r>
              <w:rPr>
                <w:b/>
                <w:smallCaps/>
                <w:color w:val="FFFFFF"/>
                <w:sz w:val="22"/>
              </w:rPr>
              <w:t>Член 34</w:t>
            </w:r>
          </w:p>
          <w:p w:rsidR="00070BBF" w:rsidRPr="003A62C4" w:rsidRDefault="00070BBF" w:rsidP="003A62C4">
            <w:pPr>
              <w:ind w:left="360"/>
              <w:jc w:val="center"/>
              <w:rPr>
                <w:sz w:val="22"/>
                <w:szCs w:val="22"/>
              </w:rPr>
            </w:pPr>
            <w:r>
              <w:rPr>
                <w:b/>
                <w:smallCaps/>
                <w:color w:val="FFFFFF"/>
                <w:sz w:val="22"/>
              </w:rPr>
              <w:t>Помощи за компенсиране на допълнителните разходи, свързани с наемането на работещи с увреждания</w:t>
            </w:r>
          </w:p>
        </w:tc>
        <w:tc>
          <w:tcPr>
            <w:tcW w:w="2398" w:type="pct"/>
            <w:tcBorders>
              <w:top w:val="single" w:sz="4" w:space="0" w:color="auto"/>
              <w:left w:val="single" w:sz="4" w:space="0" w:color="auto"/>
              <w:bottom w:val="single" w:sz="4" w:space="0" w:color="auto"/>
              <w:right w:val="single" w:sz="4" w:space="0" w:color="auto"/>
            </w:tcBorders>
            <w:shd w:val="clear" w:color="auto" w:fill="333399"/>
            <w:hideMark/>
          </w:tcPr>
          <w:p w:rsidR="00070BBF" w:rsidRPr="003A62C4" w:rsidRDefault="00070BBF" w:rsidP="003A62C4">
            <w:pPr>
              <w:jc w:val="center"/>
              <w:rPr>
                <w:sz w:val="22"/>
                <w:szCs w:val="22"/>
              </w:rPr>
            </w:pPr>
            <w:r>
              <w:rPr>
                <w:b/>
                <w:smallCaps/>
                <w:color w:val="FFFFFF"/>
                <w:sz w:val="22"/>
              </w:rPr>
              <w:t>Проверка на съответствието (OK?)</w:t>
            </w:r>
          </w:p>
        </w:tc>
      </w:tr>
      <w:tr w:rsidR="00070BBF" w:rsidRPr="003A62C4" w:rsidTr="00D71046">
        <w:tc>
          <w:tcPr>
            <w:tcW w:w="2602" w:type="pct"/>
            <w:tcBorders>
              <w:top w:val="single" w:sz="4" w:space="0" w:color="auto"/>
              <w:left w:val="single" w:sz="4" w:space="0" w:color="auto"/>
              <w:bottom w:val="single" w:sz="4" w:space="0" w:color="auto"/>
              <w:right w:val="single" w:sz="4" w:space="0" w:color="auto"/>
            </w:tcBorders>
            <w:hideMark/>
          </w:tcPr>
          <w:p w:rsidR="00E36144" w:rsidRPr="003A62C4" w:rsidRDefault="00E36144" w:rsidP="003A62C4">
            <w:pPr>
              <w:numPr>
                <w:ilvl w:val="0"/>
                <w:numId w:val="14"/>
              </w:numPr>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070BBF" w:rsidRPr="00DE608B" w:rsidRDefault="00070BBF" w:rsidP="003A62C4">
            <w:pPr>
              <w:numPr>
                <w:ilvl w:val="0"/>
                <w:numId w:val="14"/>
              </w:numPr>
              <w:jc w:val="both"/>
              <w:rPr>
                <w:sz w:val="22"/>
                <w:szCs w:val="22"/>
              </w:rPr>
            </w:pPr>
            <w:r w:rsidRPr="00DE608B">
              <w:rPr>
                <w:b/>
                <w:sz w:val="22"/>
                <w:szCs w:val="22"/>
              </w:rPr>
              <w:t>Допустимите разходи</w:t>
            </w:r>
            <w:r w:rsidRPr="00DE608B">
              <w:rPr>
                <w:sz w:val="22"/>
                <w:szCs w:val="22"/>
              </w:rPr>
              <w:t xml:space="preserve"> са (параграф 2):</w:t>
            </w:r>
          </w:p>
          <w:p w:rsidR="00070BBF" w:rsidRPr="003A62C4" w:rsidRDefault="00070BBF" w:rsidP="003A62C4">
            <w:pPr>
              <w:numPr>
                <w:ilvl w:val="0"/>
                <w:numId w:val="19"/>
              </w:numPr>
              <w:jc w:val="both"/>
              <w:rPr>
                <w:sz w:val="22"/>
                <w:szCs w:val="22"/>
              </w:rPr>
            </w:pPr>
            <w:r>
              <w:rPr>
                <w:sz w:val="22"/>
              </w:rPr>
              <w:t>разходите за приспособяване на помещенията;</w:t>
            </w:r>
          </w:p>
          <w:p w:rsidR="00070BBF" w:rsidRPr="00A853A7" w:rsidRDefault="00070BBF" w:rsidP="003A62C4">
            <w:pPr>
              <w:numPr>
                <w:ilvl w:val="0"/>
                <w:numId w:val="19"/>
              </w:numPr>
              <w:jc w:val="both"/>
              <w:rPr>
                <w:spacing w:val="-6"/>
                <w:sz w:val="22"/>
                <w:szCs w:val="22"/>
              </w:rPr>
            </w:pPr>
            <w:r w:rsidRPr="00A853A7">
              <w:rPr>
                <w:spacing w:val="-6"/>
                <w:sz w:val="22"/>
              </w:rPr>
              <w:t>разходите за наемане на персонал единствено за времето, прекарано в оказване на помощ на работещите с увреждания, и разходите за обучение на този персонал за оказване на помощ на работещите с увреждания;</w:t>
            </w:r>
          </w:p>
          <w:p w:rsidR="00070BBF" w:rsidRPr="003A62C4" w:rsidRDefault="00070BBF" w:rsidP="003A62C4">
            <w:pPr>
              <w:numPr>
                <w:ilvl w:val="0"/>
                <w:numId w:val="19"/>
              </w:numPr>
              <w:jc w:val="both"/>
              <w:rPr>
                <w:sz w:val="22"/>
                <w:szCs w:val="22"/>
              </w:rPr>
            </w:pPr>
            <w:r>
              <w:rPr>
                <w:sz w:val="22"/>
              </w:rPr>
              <w:t>разходите за приспособяване или придобиване на оборудване или за придобиване и валидиране на софтуер за използване от работещите с увреждания, в това число приспособени или подпомагащи технологични съоръжения, които са в допълнение към разходите, които бенефициерът би понесъл, ако беше наел работещи без увреждания;</w:t>
            </w:r>
          </w:p>
          <w:p w:rsidR="00070BBF" w:rsidRPr="003A62C4" w:rsidRDefault="00070BBF" w:rsidP="003A62C4">
            <w:pPr>
              <w:numPr>
                <w:ilvl w:val="0"/>
                <w:numId w:val="19"/>
              </w:numPr>
              <w:jc w:val="both"/>
              <w:rPr>
                <w:sz w:val="22"/>
                <w:szCs w:val="22"/>
              </w:rPr>
            </w:pPr>
            <w:r>
              <w:rPr>
                <w:sz w:val="22"/>
              </w:rPr>
              <w:t>разходите, пряко свързани с превоза на работещите с увреждания до работното място и за свързаните с работата дейности;</w:t>
            </w:r>
          </w:p>
          <w:p w:rsidR="00070BBF" w:rsidRPr="003A62C4" w:rsidRDefault="00070BBF" w:rsidP="003A62C4">
            <w:pPr>
              <w:numPr>
                <w:ilvl w:val="0"/>
                <w:numId w:val="19"/>
              </w:numPr>
              <w:jc w:val="both"/>
              <w:rPr>
                <w:sz w:val="22"/>
                <w:szCs w:val="22"/>
              </w:rPr>
            </w:pPr>
            <w:r>
              <w:rPr>
                <w:sz w:val="22"/>
              </w:rPr>
              <w:t>разходите за заплати за часовете, прекарани от работещите с увреждания за рехабилитация;</w:t>
            </w:r>
          </w:p>
          <w:p w:rsidR="00070BBF" w:rsidRPr="003A62C4" w:rsidRDefault="00070BBF" w:rsidP="003A62C4">
            <w:pPr>
              <w:numPr>
                <w:ilvl w:val="0"/>
                <w:numId w:val="19"/>
              </w:numPr>
              <w:jc w:val="both"/>
              <w:rPr>
                <w:sz w:val="22"/>
                <w:szCs w:val="22"/>
              </w:rPr>
            </w:pPr>
            <w:r>
              <w:rPr>
                <w:sz w:val="22"/>
              </w:rPr>
              <w:t>когато бенефициерът осигурява защитени работни места, разходите за изграждане, внедряване или модернизация на производствените звена на съответното предприятие, както и всички разходи за управление и транспорт, при условие че тези разходи са пряко свързани с наемането на работещи с увреждания.</w:t>
            </w:r>
          </w:p>
          <w:p w:rsidR="00070BBF" w:rsidRPr="00DB169C" w:rsidRDefault="00070BBF" w:rsidP="003A62C4">
            <w:pPr>
              <w:numPr>
                <w:ilvl w:val="0"/>
                <w:numId w:val="14"/>
              </w:numPr>
              <w:jc w:val="both"/>
              <w:rPr>
                <w:spacing w:val="-6"/>
                <w:sz w:val="22"/>
                <w:szCs w:val="22"/>
              </w:rPr>
            </w:pPr>
            <w:r w:rsidRPr="00DB169C">
              <w:rPr>
                <w:b/>
                <w:spacing w:val="-6"/>
                <w:sz w:val="22"/>
              </w:rPr>
              <w:t>Интензитетът на помощта</w:t>
            </w:r>
            <w:r w:rsidRPr="00DB169C">
              <w:rPr>
                <w:spacing w:val="-6"/>
                <w:sz w:val="22"/>
              </w:rPr>
              <w:t xml:space="preserve"> не надхвърля 100 % от допустимите разходи (параграф 3).</w:t>
            </w:r>
            <w:r w:rsidRPr="00DB169C">
              <w:rPr>
                <w:rFonts w:ascii="EUAlbertina-Regu" w:hAnsi="EUAlbertina-Regu"/>
                <w:spacing w:val="-6"/>
                <w:sz w:val="22"/>
              </w:rPr>
              <w:t xml:space="preserve"> </w:t>
            </w:r>
          </w:p>
        </w:tc>
        <w:tc>
          <w:tcPr>
            <w:tcW w:w="2398" w:type="pct"/>
            <w:tcBorders>
              <w:top w:val="single" w:sz="4" w:space="0" w:color="auto"/>
              <w:left w:val="single" w:sz="4" w:space="0" w:color="auto"/>
              <w:bottom w:val="single" w:sz="4" w:space="0" w:color="auto"/>
              <w:right w:val="single" w:sz="4" w:space="0" w:color="auto"/>
            </w:tcBorders>
          </w:tcPr>
          <w:p w:rsidR="00070BBF" w:rsidRPr="003A62C4" w:rsidRDefault="00070BBF" w:rsidP="003A62C4">
            <w:pPr>
              <w:rPr>
                <w:sz w:val="22"/>
                <w:szCs w:val="22"/>
              </w:rPr>
            </w:pPr>
          </w:p>
        </w:tc>
      </w:tr>
    </w:tbl>
    <w:p w:rsidR="0067174A" w:rsidRPr="003A62C4" w:rsidRDefault="0067174A" w:rsidP="003A62C4">
      <w:pPr>
        <w:rPr>
          <w:b/>
          <w:sz w:val="22"/>
          <w:szCs w:val="22"/>
          <w:u w:val="single"/>
        </w:rPr>
      </w:pPr>
    </w:p>
    <w:p w:rsidR="006B2B53" w:rsidRPr="003A62C4" w:rsidRDefault="006B2B53" w:rsidP="003A62C4">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6B2B53" w:rsidRPr="003A62C4" w:rsidTr="00D71046">
        <w:tc>
          <w:tcPr>
            <w:tcW w:w="2602" w:type="pct"/>
            <w:tcBorders>
              <w:top w:val="single" w:sz="4" w:space="0" w:color="auto"/>
              <w:left w:val="single" w:sz="4" w:space="0" w:color="auto"/>
              <w:bottom w:val="single" w:sz="4" w:space="0" w:color="auto"/>
              <w:right w:val="single" w:sz="4" w:space="0" w:color="auto"/>
            </w:tcBorders>
            <w:shd w:val="clear" w:color="auto" w:fill="333399"/>
            <w:hideMark/>
          </w:tcPr>
          <w:p w:rsidR="0067174A" w:rsidRPr="003A62C4" w:rsidRDefault="0067174A" w:rsidP="003A62C4">
            <w:pPr>
              <w:ind w:left="360"/>
              <w:jc w:val="center"/>
              <w:rPr>
                <w:b/>
                <w:smallCaps/>
                <w:color w:val="FFFFFF"/>
                <w:sz w:val="22"/>
                <w:szCs w:val="22"/>
              </w:rPr>
            </w:pPr>
            <w:r>
              <w:rPr>
                <w:b/>
                <w:smallCaps/>
                <w:color w:val="FFFFFF"/>
                <w:sz w:val="22"/>
              </w:rPr>
              <w:t>Член 35</w:t>
            </w:r>
          </w:p>
          <w:p w:rsidR="006B2B53" w:rsidRPr="003A62C4" w:rsidRDefault="006B2B53" w:rsidP="003A62C4">
            <w:pPr>
              <w:ind w:left="360"/>
              <w:jc w:val="center"/>
              <w:rPr>
                <w:sz w:val="22"/>
                <w:szCs w:val="22"/>
              </w:rPr>
            </w:pPr>
            <w:r>
              <w:rPr>
                <w:b/>
                <w:smallCaps/>
                <w:color w:val="FFFFFF"/>
                <w:sz w:val="22"/>
              </w:rPr>
              <w:t>Помощи за компенсиране на разходите за оказване на помощ на работещи в неравностойно положение</w:t>
            </w:r>
          </w:p>
        </w:tc>
        <w:tc>
          <w:tcPr>
            <w:tcW w:w="2398" w:type="pct"/>
            <w:tcBorders>
              <w:top w:val="single" w:sz="4" w:space="0" w:color="auto"/>
              <w:left w:val="single" w:sz="4" w:space="0" w:color="auto"/>
              <w:bottom w:val="single" w:sz="4" w:space="0" w:color="auto"/>
              <w:right w:val="single" w:sz="4" w:space="0" w:color="auto"/>
            </w:tcBorders>
            <w:shd w:val="clear" w:color="auto" w:fill="333399"/>
            <w:hideMark/>
          </w:tcPr>
          <w:p w:rsidR="006B2B53" w:rsidRPr="003A62C4" w:rsidRDefault="006B2B53" w:rsidP="003A62C4">
            <w:pPr>
              <w:jc w:val="center"/>
              <w:rPr>
                <w:sz w:val="22"/>
                <w:szCs w:val="22"/>
              </w:rPr>
            </w:pPr>
            <w:r>
              <w:rPr>
                <w:b/>
                <w:smallCaps/>
                <w:color w:val="FFFFFF"/>
                <w:sz w:val="22"/>
              </w:rPr>
              <w:t>Проверка на съответствието (OK?)</w:t>
            </w:r>
          </w:p>
        </w:tc>
      </w:tr>
      <w:tr w:rsidR="006B2B53" w:rsidRPr="003A62C4" w:rsidTr="00D71046">
        <w:tc>
          <w:tcPr>
            <w:tcW w:w="2602" w:type="pct"/>
            <w:tcBorders>
              <w:top w:val="single" w:sz="4" w:space="0" w:color="auto"/>
              <w:left w:val="single" w:sz="4" w:space="0" w:color="auto"/>
              <w:bottom w:val="single" w:sz="4" w:space="0" w:color="auto"/>
              <w:right w:val="single" w:sz="4" w:space="0" w:color="auto"/>
            </w:tcBorders>
            <w:hideMark/>
          </w:tcPr>
          <w:p w:rsidR="0067174A" w:rsidRPr="003A62C4" w:rsidRDefault="0067174A" w:rsidP="003A62C4">
            <w:pPr>
              <w:numPr>
                <w:ilvl w:val="0"/>
                <w:numId w:val="14"/>
              </w:numPr>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6B2B53" w:rsidRPr="00412F6A" w:rsidRDefault="006B2B53" w:rsidP="003A62C4">
            <w:pPr>
              <w:numPr>
                <w:ilvl w:val="0"/>
                <w:numId w:val="14"/>
              </w:numPr>
              <w:jc w:val="both"/>
              <w:rPr>
                <w:sz w:val="22"/>
                <w:szCs w:val="22"/>
              </w:rPr>
            </w:pPr>
            <w:r w:rsidRPr="00412F6A">
              <w:rPr>
                <w:b/>
                <w:sz w:val="22"/>
                <w:szCs w:val="22"/>
              </w:rPr>
              <w:t>Допустимите разходи</w:t>
            </w:r>
            <w:r w:rsidRPr="00412F6A">
              <w:rPr>
                <w:sz w:val="22"/>
                <w:szCs w:val="22"/>
              </w:rPr>
              <w:t xml:space="preserve"> са (параграф 2):</w:t>
            </w:r>
          </w:p>
          <w:p w:rsidR="006B2B53" w:rsidRPr="003A62C4" w:rsidRDefault="006B2B53" w:rsidP="003A62C4">
            <w:pPr>
              <w:numPr>
                <w:ilvl w:val="0"/>
                <w:numId w:val="20"/>
              </w:numPr>
              <w:ind w:left="743" w:hanging="284"/>
              <w:jc w:val="both"/>
              <w:rPr>
                <w:sz w:val="22"/>
                <w:szCs w:val="22"/>
              </w:rPr>
            </w:pPr>
            <w:r w:rsidRPr="00412F6A">
              <w:rPr>
                <w:sz w:val="22"/>
                <w:szCs w:val="22"/>
              </w:rPr>
              <w:t>разходите за наемане на персонал</w:t>
            </w:r>
            <w:r>
              <w:rPr>
                <w:sz w:val="22"/>
              </w:rPr>
              <w:t xml:space="preserve"> само за времето, прекарано в оказване на помощ на работещи в неравностойно положение, за най-много 12 месеца от момента на наемането на работещ в неравностойно положение или за най-много 24 месеца от момента на наемането на работещ в силно неравностойно положение;</w:t>
            </w:r>
          </w:p>
          <w:p w:rsidR="006B2B53" w:rsidRPr="003A62C4" w:rsidRDefault="006B2B53" w:rsidP="003A62C4">
            <w:pPr>
              <w:numPr>
                <w:ilvl w:val="0"/>
                <w:numId w:val="20"/>
              </w:numPr>
              <w:ind w:left="885" w:hanging="426"/>
              <w:jc w:val="both"/>
              <w:rPr>
                <w:sz w:val="22"/>
                <w:szCs w:val="22"/>
              </w:rPr>
            </w:pPr>
            <w:r>
              <w:rPr>
                <w:sz w:val="22"/>
              </w:rPr>
              <w:t>разходите за обучение на този персонал за оказване на помощ на работещите в неравностойно положение.</w:t>
            </w:r>
          </w:p>
          <w:p w:rsidR="006B2B53" w:rsidRPr="003A62C4" w:rsidRDefault="006B2B53" w:rsidP="003A62C4">
            <w:pPr>
              <w:numPr>
                <w:ilvl w:val="0"/>
                <w:numId w:val="14"/>
              </w:numPr>
              <w:jc w:val="both"/>
              <w:rPr>
                <w:sz w:val="22"/>
                <w:szCs w:val="22"/>
              </w:rPr>
            </w:pPr>
            <w:r>
              <w:rPr>
                <w:sz w:val="22"/>
              </w:rPr>
              <w:t>Предоставеното подпомагане включва мерки за насърчаване на автономността на работещите в неравностойно положение и на адаптирането им към работната среда, като работещите в неравностойно положение получават подкрепа при социалните и административните процедури, комуникацията с предприемачите и управлението на конфликти (параграф 3).</w:t>
            </w:r>
          </w:p>
          <w:p w:rsidR="006B2B53" w:rsidRPr="003A62C4" w:rsidRDefault="006B2B53" w:rsidP="003A62C4">
            <w:pPr>
              <w:numPr>
                <w:ilvl w:val="0"/>
                <w:numId w:val="14"/>
              </w:numPr>
              <w:jc w:val="both"/>
              <w:rPr>
                <w:sz w:val="22"/>
                <w:szCs w:val="22"/>
              </w:rPr>
            </w:pPr>
            <w:r>
              <w:rPr>
                <w:sz w:val="22"/>
              </w:rPr>
              <w:t>Интензитетът на помощта не надхвърля 50 % от допустимите разходи.</w:t>
            </w:r>
            <w:r>
              <w:rPr>
                <w:rFonts w:ascii="EUAlbertina-Regu" w:hAnsi="EUAlbertina-Regu"/>
                <w:sz w:val="22"/>
              </w:rPr>
              <w:t xml:space="preserve"> </w:t>
            </w:r>
          </w:p>
        </w:tc>
        <w:tc>
          <w:tcPr>
            <w:tcW w:w="2398" w:type="pct"/>
            <w:tcBorders>
              <w:top w:val="single" w:sz="4" w:space="0" w:color="auto"/>
              <w:left w:val="single" w:sz="4" w:space="0" w:color="auto"/>
              <w:bottom w:val="single" w:sz="4" w:space="0" w:color="auto"/>
              <w:right w:val="single" w:sz="4" w:space="0" w:color="auto"/>
            </w:tcBorders>
          </w:tcPr>
          <w:p w:rsidR="006B2B53" w:rsidRPr="003A62C4" w:rsidRDefault="006B2B53" w:rsidP="003A62C4">
            <w:pPr>
              <w:rPr>
                <w:sz w:val="22"/>
                <w:szCs w:val="22"/>
              </w:rPr>
            </w:pPr>
          </w:p>
        </w:tc>
      </w:tr>
    </w:tbl>
    <w:p w:rsidR="009F52DA" w:rsidRPr="003A62C4" w:rsidRDefault="009F52DA" w:rsidP="003A62C4">
      <w:pPr>
        <w:rPr>
          <w:b/>
          <w:sz w:val="22"/>
          <w:szCs w:val="22"/>
          <w:u w:val="single"/>
        </w:rPr>
      </w:pPr>
    </w:p>
    <w:sectPr w:rsidR="009F52DA" w:rsidRPr="003A62C4" w:rsidSect="000178B5">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76" w:rsidRDefault="00E94076">
      <w:r>
        <w:separator/>
      </w:r>
    </w:p>
  </w:endnote>
  <w:endnote w:type="continuationSeparator" w:id="0">
    <w:p w:rsidR="00E94076" w:rsidRDefault="00E9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B5" w:rsidRDefault="000178B5">
    <w:pPr>
      <w:pStyle w:val="Footer"/>
      <w:jc w:val="right"/>
    </w:pPr>
    <w:r>
      <w:fldChar w:fldCharType="begin"/>
    </w:r>
    <w:r>
      <w:instrText xml:space="preserve"> PAGE   \* MERGEFORMAT </w:instrText>
    </w:r>
    <w:r>
      <w:fldChar w:fldCharType="separate"/>
    </w:r>
    <w:r w:rsidR="002771D3">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B5" w:rsidRPr="000178B5" w:rsidRDefault="000178B5">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76" w:rsidRDefault="00E94076">
      <w:r>
        <w:separator/>
      </w:r>
    </w:p>
  </w:footnote>
  <w:footnote w:type="continuationSeparator" w:id="0">
    <w:p w:rsidR="00E94076" w:rsidRDefault="00E9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1C" w:rsidRDefault="00381C1C" w:rsidP="00381C1C">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381C1C" w:rsidRDefault="00381C1C" w:rsidP="00381C1C">
    <w:pPr>
      <w:autoSpaceDE w:val="0"/>
      <w:autoSpaceDN w:val="0"/>
      <w:ind w:right="-567"/>
      <w:jc w:val="both"/>
      <w:rPr>
        <w:b/>
        <w:bCs/>
        <w:noProof/>
        <w:snapToGrid w:val="0"/>
        <w:color w:val="000000"/>
        <w:u w:val="single"/>
      </w:rPr>
    </w:pPr>
  </w:p>
  <w:p w:rsidR="00381C1C" w:rsidRPr="00381C1C" w:rsidRDefault="00381C1C" w:rsidP="00381C1C">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EA4B5B" w:rsidRDefault="00EA4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B5" w:rsidRDefault="000178B5" w:rsidP="000178B5">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0178B5" w:rsidRDefault="000178B5" w:rsidP="000178B5">
    <w:pPr>
      <w:autoSpaceDE w:val="0"/>
      <w:autoSpaceDN w:val="0"/>
      <w:ind w:right="-567"/>
      <w:jc w:val="both"/>
      <w:rPr>
        <w:b/>
        <w:bCs/>
        <w:noProof/>
        <w:snapToGrid w:val="0"/>
        <w:color w:val="000000"/>
        <w:u w:val="single"/>
      </w:rPr>
    </w:pPr>
  </w:p>
  <w:p w:rsidR="000178B5" w:rsidRPr="00381C1C" w:rsidRDefault="000178B5" w:rsidP="000178B5">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0178B5" w:rsidRDefault="00017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C1EDE"/>
    <w:multiLevelType w:val="hybridMultilevel"/>
    <w:tmpl w:val="C67C300A"/>
    <w:lvl w:ilvl="0" w:tplc="2954F7A4">
      <w:start w:val="1"/>
      <mc:AlternateContent>
        <mc:Choice Requires="w14">
          <w:numFmt w:val="custom" w:format="а, й, к, ..."/>
        </mc:Choice>
        <mc:Fallback>
          <w:numFmt w:val="decimal"/>
        </mc:Fallback>
      </mc:AlternateContent>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7F0A7E"/>
    <w:multiLevelType w:val="hybridMultilevel"/>
    <w:tmpl w:val="7A322D3C"/>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DB62E5"/>
    <w:multiLevelType w:val="hybridMultilevel"/>
    <w:tmpl w:val="687CC6FE"/>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760C0"/>
    <w:multiLevelType w:val="hybridMultilevel"/>
    <w:tmpl w:val="1DB87B1E"/>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23775"/>
    <w:multiLevelType w:val="hybridMultilevel"/>
    <w:tmpl w:val="8EFA9F02"/>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17">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536A4"/>
    <w:multiLevelType w:val="hybridMultilevel"/>
    <w:tmpl w:val="D684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F62271B"/>
    <w:multiLevelType w:val="hybridMultilevel"/>
    <w:tmpl w:val="C4DA66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5"/>
  </w:num>
  <w:num w:numId="3">
    <w:abstractNumId w:val="10"/>
  </w:num>
  <w:num w:numId="4">
    <w:abstractNumId w:val="6"/>
  </w:num>
  <w:num w:numId="5">
    <w:abstractNumId w:val="19"/>
  </w:num>
  <w:num w:numId="6">
    <w:abstractNumId w:val="0"/>
  </w:num>
  <w:num w:numId="7">
    <w:abstractNumId w:val="13"/>
  </w:num>
  <w:num w:numId="8">
    <w:abstractNumId w:val="5"/>
  </w:num>
  <w:num w:numId="9">
    <w:abstractNumId w:val="9"/>
  </w:num>
  <w:num w:numId="10">
    <w:abstractNumId w:val="12"/>
  </w:num>
  <w:num w:numId="11">
    <w:abstractNumId w:val="16"/>
  </w:num>
  <w:num w:numId="12">
    <w:abstractNumId w:val="14"/>
  </w:num>
  <w:num w:numId="13">
    <w:abstractNumId w:val="21"/>
  </w:num>
  <w:num w:numId="14">
    <w:abstractNumId w:val="7"/>
  </w:num>
  <w:num w:numId="15">
    <w:abstractNumId w:val="1"/>
  </w:num>
  <w:num w:numId="16">
    <w:abstractNumId w:val="18"/>
  </w:num>
  <w:num w:numId="17">
    <w:abstractNumId w:val="8"/>
  </w:num>
  <w:num w:numId="18">
    <w:abstractNumId w:val="22"/>
  </w:num>
  <w:num w:numId="19">
    <w:abstractNumId w:val="3"/>
  </w:num>
  <w:num w:numId="20">
    <w:abstractNumId w:val="2"/>
  </w:num>
  <w:num w:numId="21">
    <w:abstractNumId w:val="17"/>
  </w:num>
  <w:num w:numId="22">
    <w:abstractNumId w:val="4"/>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067B2"/>
    <w:rsid w:val="000178B5"/>
    <w:rsid w:val="00023484"/>
    <w:rsid w:val="00026BD7"/>
    <w:rsid w:val="000307FC"/>
    <w:rsid w:val="00033F67"/>
    <w:rsid w:val="000372A4"/>
    <w:rsid w:val="0004275D"/>
    <w:rsid w:val="00045763"/>
    <w:rsid w:val="00045C91"/>
    <w:rsid w:val="00047DB1"/>
    <w:rsid w:val="000550A4"/>
    <w:rsid w:val="00064269"/>
    <w:rsid w:val="00066155"/>
    <w:rsid w:val="00070BBF"/>
    <w:rsid w:val="000729AA"/>
    <w:rsid w:val="0007495E"/>
    <w:rsid w:val="00085359"/>
    <w:rsid w:val="000934FB"/>
    <w:rsid w:val="000969AA"/>
    <w:rsid w:val="0009762A"/>
    <w:rsid w:val="000A0383"/>
    <w:rsid w:val="000A19E8"/>
    <w:rsid w:val="000A2636"/>
    <w:rsid w:val="000B0C62"/>
    <w:rsid w:val="000C51C2"/>
    <w:rsid w:val="000E10AB"/>
    <w:rsid w:val="000E4DAE"/>
    <w:rsid w:val="000F1FCD"/>
    <w:rsid w:val="000F2C08"/>
    <w:rsid w:val="000F75EF"/>
    <w:rsid w:val="001036A5"/>
    <w:rsid w:val="0012665D"/>
    <w:rsid w:val="00133E6A"/>
    <w:rsid w:val="0013556A"/>
    <w:rsid w:val="00176DBE"/>
    <w:rsid w:val="001807C0"/>
    <w:rsid w:val="00180EAA"/>
    <w:rsid w:val="001A5F32"/>
    <w:rsid w:val="001B05F1"/>
    <w:rsid w:val="001C0C3A"/>
    <w:rsid w:val="001D0FD1"/>
    <w:rsid w:val="001E6D03"/>
    <w:rsid w:val="001F48D0"/>
    <w:rsid w:val="001F4FF1"/>
    <w:rsid w:val="0020708C"/>
    <w:rsid w:val="00216B49"/>
    <w:rsid w:val="00221B84"/>
    <w:rsid w:val="00222F1C"/>
    <w:rsid w:val="00231553"/>
    <w:rsid w:val="002427AF"/>
    <w:rsid w:val="002470A3"/>
    <w:rsid w:val="002474BB"/>
    <w:rsid w:val="00275069"/>
    <w:rsid w:val="002771D3"/>
    <w:rsid w:val="00284609"/>
    <w:rsid w:val="00291068"/>
    <w:rsid w:val="002920BD"/>
    <w:rsid w:val="00293736"/>
    <w:rsid w:val="002A35F6"/>
    <w:rsid w:val="002B3E57"/>
    <w:rsid w:val="002B4358"/>
    <w:rsid w:val="002B4CA9"/>
    <w:rsid w:val="002B54DF"/>
    <w:rsid w:val="002D4CC4"/>
    <w:rsid w:val="002E3BB9"/>
    <w:rsid w:val="00307511"/>
    <w:rsid w:val="00311BDC"/>
    <w:rsid w:val="00321646"/>
    <w:rsid w:val="00334173"/>
    <w:rsid w:val="00335128"/>
    <w:rsid w:val="00336EAF"/>
    <w:rsid w:val="003370CB"/>
    <w:rsid w:val="00337965"/>
    <w:rsid w:val="00346560"/>
    <w:rsid w:val="00356870"/>
    <w:rsid w:val="00360837"/>
    <w:rsid w:val="00367997"/>
    <w:rsid w:val="0037514B"/>
    <w:rsid w:val="0037615F"/>
    <w:rsid w:val="003776F1"/>
    <w:rsid w:val="00381C1C"/>
    <w:rsid w:val="00397EC8"/>
    <w:rsid w:val="003A34CB"/>
    <w:rsid w:val="003A43FE"/>
    <w:rsid w:val="003A62C4"/>
    <w:rsid w:val="003A6BA8"/>
    <w:rsid w:val="003A70AE"/>
    <w:rsid w:val="003B66C5"/>
    <w:rsid w:val="003B745C"/>
    <w:rsid w:val="003C3F0E"/>
    <w:rsid w:val="003D260A"/>
    <w:rsid w:val="003D41BA"/>
    <w:rsid w:val="003D55CE"/>
    <w:rsid w:val="003E0049"/>
    <w:rsid w:val="003E00A3"/>
    <w:rsid w:val="003E4E9D"/>
    <w:rsid w:val="003F057C"/>
    <w:rsid w:val="003F7596"/>
    <w:rsid w:val="003F79AB"/>
    <w:rsid w:val="00400566"/>
    <w:rsid w:val="00405BE7"/>
    <w:rsid w:val="00412F6A"/>
    <w:rsid w:val="00421231"/>
    <w:rsid w:val="0042377F"/>
    <w:rsid w:val="00424808"/>
    <w:rsid w:val="004412F5"/>
    <w:rsid w:val="004452B6"/>
    <w:rsid w:val="0045170D"/>
    <w:rsid w:val="004618BB"/>
    <w:rsid w:val="00461A7C"/>
    <w:rsid w:val="004745B1"/>
    <w:rsid w:val="00481FD8"/>
    <w:rsid w:val="004A3CB6"/>
    <w:rsid w:val="004B7EF7"/>
    <w:rsid w:val="004C2364"/>
    <w:rsid w:val="004C3787"/>
    <w:rsid w:val="004C5A80"/>
    <w:rsid w:val="004D0D76"/>
    <w:rsid w:val="004F201B"/>
    <w:rsid w:val="004F6330"/>
    <w:rsid w:val="00502676"/>
    <w:rsid w:val="005053B9"/>
    <w:rsid w:val="00513516"/>
    <w:rsid w:val="005212FD"/>
    <w:rsid w:val="00531692"/>
    <w:rsid w:val="00534552"/>
    <w:rsid w:val="00540AA1"/>
    <w:rsid w:val="005442C1"/>
    <w:rsid w:val="00554D95"/>
    <w:rsid w:val="00557283"/>
    <w:rsid w:val="00567676"/>
    <w:rsid w:val="00571298"/>
    <w:rsid w:val="005875CA"/>
    <w:rsid w:val="00593387"/>
    <w:rsid w:val="005B598E"/>
    <w:rsid w:val="005C2735"/>
    <w:rsid w:val="005C3444"/>
    <w:rsid w:val="005E05CA"/>
    <w:rsid w:val="005E23C6"/>
    <w:rsid w:val="005E7699"/>
    <w:rsid w:val="005F0ED2"/>
    <w:rsid w:val="005F14EC"/>
    <w:rsid w:val="006075D5"/>
    <w:rsid w:val="0061207C"/>
    <w:rsid w:val="0061345C"/>
    <w:rsid w:val="006149DC"/>
    <w:rsid w:val="006155AB"/>
    <w:rsid w:val="00620255"/>
    <w:rsid w:val="00624BDF"/>
    <w:rsid w:val="00626599"/>
    <w:rsid w:val="00633331"/>
    <w:rsid w:val="0063569E"/>
    <w:rsid w:val="00654CC5"/>
    <w:rsid w:val="00660ED7"/>
    <w:rsid w:val="00663D78"/>
    <w:rsid w:val="0066573A"/>
    <w:rsid w:val="0067010A"/>
    <w:rsid w:val="0067174A"/>
    <w:rsid w:val="00674F49"/>
    <w:rsid w:val="00682CD5"/>
    <w:rsid w:val="006B2B53"/>
    <w:rsid w:val="006C6F39"/>
    <w:rsid w:val="006D137E"/>
    <w:rsid w:val="006D612B"/>
    <w:rsid w:val="006E1F72"/>
    <w:rsid w:val="0070535F"/>
    <w:rsid w:val="007118FB"/>
    <w:rsid w:val="00761D21"/>
    <w:rsid w:val="00761DE6"/>
    <w:rsid w:val="00773F1E"/>
    <w:rsid w:val="00783CA1"/>
    <w:rsid w:val="0079018B"/>
    <w:rsid w:val="007A2C05"/>
    <w:rsid w:val="007B0B68"/>
    <w:rsid w:val="007B6E14"/>
    <w:rsid w:val="007C4733"/>
    <w:rsid w:val="007D461F"/>
    <w:rsid w:val="007D6D47"/>
    <w:rsid w:val="007E1A2F"/>
    <w:rsid w:val="007F572A"/>
    <w:rsid w:val="00801247"/>
    <w:rsid w:val="008108E1"/>
    <w:rsid w:val="00832DAB"/>
    <w:rsid w:val="008476F4"/>
    <w:rsid w:val="00852C3B"/>
    <w:rsid w:val="00854D12"/>
    <w:rsid w:val="00856814"/>
    <w:rsid w:val="00867005"/>
    <w:rsid w:val="00867F36"/>
    <w:rsid w:val="00883DFF"/>
    <w:rsid w:val="00885BB0"/>
    <w:rsid w:val="00895393"/>
    <w:rsid w:val="008A3AC1"/>
    <w:rsid w:val="008A3D6A"/>
    <w:rsid w:val="008B33CE"/>
    <w:rsid w:val="008C1495"/>
    <w:rsid w:val="008C5BB2"/>
    <w:rsid w:val="008D3D7C"/>
    <w:rsid w:val="008F28E4"/>
    <w:rsid w:val="008F3609"/>
    <w:rsid w:val="008F7532"/>
    <w:rsid w:val="009065BA"/>
    <w:rsid w:val="00906AB3"/>
    <w:rsid w:val="00920585"/>
    <w:rsid w:val="0092466F"/>
    <w:rsid w:val="00931208"/>
    <w:rsid w:val="00947544"/>
    <w:rsid w:val="0095164F"/>
    <w:rsid w:val="009519EC"/>
    <w:rsid w:val="00952517"/>
    <w:rsid w:val="0095335C"/>
    <w:rsid w:val="00960792"/>
    <w:rsid w:val="00977A9A"/>
    <w:rsid w:val="00981AB9"/>
    <w:rsid w:val="00986F2B"/>
    <w:rsid w:val="00991733"/>
    <w:rsid w:val="00994B7C"/>
    <w:rsid w:val="00995DBB"/>
    <w:rsid w:val="009B0CDD"/>
    <w:rsid w:val="009B1258"/>
    <w:rsid w:val="009C13FD"/>
    <w:rsid w:val="009E14D9"/>
    <w:rsid w:val="009F0902"/>
    <w:rsid w:val="009F52DA"/>
    <w:rsid w:val="00A10F4F"/>
    <w:rsid w:val="00A21C2F"/>
    <w:rsid w:val="00A2428C"/>
    <w:rsid w:val="00A24976"/>
    <w:rsid w:val="00A404CF"/>
    <w:rsid w:val="00A415C5"/>
    <w:rsid w:val="00A43E85"/>
    <w:rsid w:val="00A46329"/>
    <w:rsid w:val="00A46614"/>
    <w:rsid w:val="00A6604D"/>
    <w:rsid w:val="00A67375"/>
    <w:rsid w:val="00A8428A"/>
    <w:rsid w:val="00A853A7"/>
    <w:rsid w:val="00A8762D"/>
    <w:rsid w:val="00A97329"/>
    <w:rsid w:val="00AA1B68"/>
    <w:rsid w:val="00AA37CE"/>
    <w:rsid w:val="00AA6116"/>
    <w:rsid w:val="00AA779E"/>
    <w:rsid w:val="00AB1D4E"/>
    <w:rsid w:val="00AB506B"/>
    <w:rsid w:val="00AB6771"/>
    <w:rsid w:val="00AB7FD4"/>
    <w:rsid w:val="00AC1C17"/>
    <w:rsid w:val="00AC39C3"/>
    <w:rsid w:val="00AC4476"/>
    <w:rsid w:val="00AD2B50"/>
    <w:rsid w:val="00AD5B07"/>
    <w:rsid w:val="00AD7E6A"/>
    <w:rsid w:val="00AE1488"/>
    <w:rsid w:val="00AE1A5B"/>
    <w:rsid w:val="00AE56FC"/>
    <w:rsid w:val="00B106C8"/>
    <w:rsid w:val="00B15AD1"/>
    <w:rsid w:val="00B4159B"/>
    <w:rsid w:val="00B44464"/>
    <w:rsid w:val="00B46C58"/>
    <w:rsid w:val="00B55BDD"/>
    <w:rsid w:val="00B60F94"/>
    <w:rsid w:val="00B70C80"/>
    <w:rsid w:val="00B87F87"/>
    <w:rsid w:val="00B94558"/>
    <w:rsid w:val="00B95877"/>
    <w:rsid w:val="00BA710B"/>
    <w:rsid w:val="00BB06AE"/>
    <w:rsid w:val="00BB080C"/>
    <w:rsid w:val="00BB2CA7"/>
    <w:rsid w:val="00BC780C"/>
    <w:rsid w:val="00BD3F80"/>
    <w:rsid w:val="00BE13EB"/>
    <w:rsid w:val="00BF4423"/>
    <w:rsid w:val="00C00CD5"/>
    <w:rsid w:val="00C01462"/>
    <w:rsid w:val="00C032F5"/>
    <w:rsid w:val="00C05BC5"/>
    <w:rsid w:val="00C12FD6"/>
    <w:rsid w:val="00C146A4"/>
    <w:rsid w:val="00C355C3"/>
    <w:rsid w:val="00C400E7"/>
    <w:rsid w:val="00C4593E"/>
    <w:rsid w:val="00C5368A"/>
    <w:rsid w:val="00C615C4"/>
    <w:rsid w:val="00C62BFC"/>
    <w:rsid w:val="00C64EBE"/>
    <w:rsid w:val="00C71B8F"/>
    <w:rsid w:val="00C93DBE"/>
    <w:rsid w:val="00CA2F50"/>
    <w:rsid w:val="00CB12B9"/>
    <w:rsid w:val="00CB4E16"/>
    <w:rsid w:val="00CB55F1"/>
    <w:rsid w:val="00CD4A8A"/>
    <w:rsid w:val="00CD5054"/>
    <w:rsid w:val="00CE25D0"/>
    <w:rsid w:val="00CE58B8"/>
    <w:rsid w:val="00CE73F7"/>
    <w:rsid w:val="00D177B0"/>
    <w:rsid w:val="00D30804"/>
    <w:rsid w:val="00D324A5"/>
    <w:rsid w:val="00D3640F"/>
    <w:rsid w:val="00D40C63"/>
    <w:rsid w:val="00D42B4C"/>
    <w:rsid w:val="00D432C8"/>
    <w:rsid w:val="00D435B4"/>
    <w:rsid w:val="00D44F34"/>
    <w:rsid w:val="00D51612"/>
    <w:rsid w:val="00D53F45"/>
    <w:rsid w:val="00D55F5A"/>
    <w:rsid w:val="00D64EFF"/>
    <w:rsid w:val="00D71046"/>
    <w:rsid w:val="00D759D8"/>
    <w:rsid w:val="00D807E0"/>
    <w:rsid w:val="00D8294D"/>
    <w:rsid w:val="00D855E9"/>
    <w:rsid w:val="00DA3563"/>
    <w:rsid w:val="00DB169C"/>
    <w:rsid w:val="00DB569B"/>
    <w:rsid w:val="00DD57E1"/>
    <w:rsid w:val="00DD7A76"/>
    <w:rsid w:val="00DE1EEC"/>
    <w:rsid w:val="00DE608B"/>
    <w:rsid w:val="00DE6449"/>
    <w:rsid w:val="00DE6687"/>
    <w:rsid w:val="00DE7770"/>
    <w:rsid w:val="00DF0CCA"/>
    <w:rsid w:val="00E002A5"/>
    <w:rsid w:val="00E12E80"/>
    <w:rsid w:val="00E158B2"/>
    <w:rsid w:val="00E22316"/>
    <w:rsid w:val="00E25E2E"/>
    <w:rsid w:val="00E351CB"/>
    <w:rsid w:val="00E36144"/>
    <w:rsid w:val="00E37A77"/>
    <w:rsid w:val="00E53C84"/>
    <w:rsid w:val="00E57D5E"/>
    <w:rsid w:val="00E649EB"/>
    <w:rsid w:val="00E71C38"/>
    <w:rsid w:val="00E90BF5"/>
    <w:rsid w:val="00E94076"/>
    <w:rsid w:val="00EA0570"/>
    <w:rsid w:val="00EA4B5B"/>
    <w:rsid w:val="00EA4FEF"/>
    <w:rsid w:val="00EA5920"/>
    <w:rsid w:val="00EA594D"/>
    <w:rsid w:val="00EA7B22"/>
    <w:rsid w:val="00EC3C1E"/>
    <w:rsid w:val="00ED5B7F"/>
    <w:rsid w:val="00EE4443"/>
    <w:rsid w:val="00EF0CC4"/>
    <w:rsid w:val="00EF14CC"/>
    <w:rsid w:val="00EF15E9"/>
    <w:rsid w:val="00EF2592"/>
    <w:rsid w:val="00EF4AEC"/>
    <w:rsid w:val="00EF7825"/>
    <w:rsid w:val="00F0671F"/>
    <w:rsid w:val="00F101A4"/>
    <w:rsid w:val="00F1470E"/>
    <w:rsid w:val="00F16C18"/>
    <w:rsid w:val="00F177AC"/>
    <w:rsid w:val="00F24F5B"/>
    <w:rsid w:val="00F26421"/>
    <w:rsid w:val="00F27FDA"/>
    <w:rsid w:val="00F35FBA"/>
    <w:rsid w:val="00F50360"/>
    <w:rsid w:val="00F5292F"/>
    <w:rsid w:val="00F6027A"/>
    <w:rsid w:val="00F83023"/>
    <w:rsid w:val="00F856AA"/>
    <w:rsid w:val="00F922A1"/>
    <w:rsid w:val="00FA329D"/>
    <w:rsid w:val="00FB1D1F"/>
    <w:rsid w:val="00FB4961"/>
    <w:rsid w:val="00FB562F"/>
    <w:rsid w:val="00FC2D31"/>
    <w:rsid w:val="00FC42D8"/>
    <w:rsid w:val="00FD2944"/>
    <w:rsid w:val="00FE2996"/>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EA4B5B"/>
    <w:pPr>
      <w:tabs>
        <w:tab w:val="center" w:pos="4536"/>
        <w:tab w:val="right" w:pos="9072"/>
      </w:tabs>
    </w:pPr>
  </w:style>
  <w:style w:type="character" w:customStyle="1" w:styleId="HeaderChar">
    <w:name w:val="Header Char"/>
    <w:link w:val="Header"/>
    <w:uiPriority w:val="99"/>
    <w:rsid w:val="00EA4B5B"/>
    <w:rPr>
      <w:sz w:val="24"/>
      <w:szCs w:val="24"/>
      <w:lang w:eastAsia="bg-BG"/>
    </w:rPr>
  </w:style>
  <w:style w:type="paragraph" w:styleId="Footer">
    <w:name w:val="footer"/>
    <w:basedOn w:val="Normal"/>
    <w:link w:val="FooterChar"/>
    <w:uiPriority w:val="99"/>
    <w:rsid w:val="00EA4B5B"/>
    <w:pPr>
      <w:tabs>
        <w:tab w:val="center" w:pos="4536"/>
        <w:tab w:val="right" w:pos="9072"/>
      </w:tabs>
    </w:pPr>
  </w:style>
  <w:style w:type="character" w:customStyle="1" w:styleId="FooterChar">
    <w:name w:val="Footer Char"/>
    <w:link w:val="Footer"/>
    <w:uiPriority w:val="99"/>
    <w:rsid w:val="00EA4B5B"/>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EA4B5B"/>
    <w:pPr>
      <w:tabs>
        <w:tab w:val="center" w:pos="4536"/>
        <w:tab w:val="right" w:pos="9072"/>
      </w:tabs>
    </w:pPr>
  </w:style>
  <w:style w:type="character" w:customStyle="1" w:styleId="HeaderChar">
    <w:name w:val="Header Char"/>
    <w:link w:val="Header"/>
    <w:uiPriority w:val="99"/>
    <w:rsid w:val="00EA4B5B"/>
    <w:rPr>
      <w:sz w:val="24"/>
      <w:szCs w:val="24"/>
      <w:lang w:eastAsia="bg-BG"/>
    </w:rPr>
  </w:style>
  <w:style w:type="paragraph" w:styleId="Footer">
    <w:name w:val="footer"/>
    <w:basedOn w:val="Normal"/>
    <w:link w:val="FooterChar"/>
    <w:uiPriority w:val="99"/>
    <w:rsid w:val="00EA4B5B"/>
    <w:pPr>
      <w:tabs>
        <w:tab w:val="center" w:pos="4536"/>
        <w:tab w:val="right" w:pos="9072"/>
      </w:tabs>
    </w:pPr>
  </w:style>
  <w:style w:type="character" w:customStyle="1" w:styleId="FooterChar">
    <w:name w:val="Footer Char"/>
    <w:link w:val="Footer"/>
    <w:uiPriority w:val="99"/>
    <w:rsid w:val="00EA4B5B"/>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50622">
      <w:bodyDiv w:val="1"/>
      <w:marLeft w:val="0"/>
      <w:marRight w:val="0"/>
      <w:marTop w:val="0"/>
      <w:marBottom w:val="0"/>
      <w:divBdr>
        <w:top w:val="none" w:sz="0" w:space="0" w:color="auto"/>
        <w:left w:val="none" w:sz="0" w:space="0" w:color="auto"/>
        <w:bottom w:val="none" w:sz="0" w:space="0" w:color="auto"/>
        <w:right w:val="none" w:sz="0" w:space="0" w:color="auto"/>
      </w:divBdr>
    </w:div>
    <w:div w:id="479734942">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57417">
      <w:bodyDiv w:val="1"/>
      <w:marLeft w:val="0"/>
      <w:marRight w:val="0"/>
      <w:marTop w:val="0"/>
      <w:marBottom w:val="0"/>
      <w:divBdr>
        <w:top w:val="none" w:sz="0" w:space="0" w:color="auto"/>
        <w:left w:val="none" w:sz="0" w:space="0" w:color="auto"/>
        <w:bottom w:val="none" w:sz="0" w:space="0" w:color="auto"/>
        <w:right w:val="none" w:sz="0" w:space="0" w:color="auto"/>
      </w:divBdr>
    </w:div>
    <w:div w:id="1870023284">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C4FF-4F97-4353-AC7B-7F243966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2015-03-09T11:10:00Z</cp:lastPrinted>
  <dcterms:created xsi:type="dcterms:W3CDTF">2016-04-05T12:29:00Z</dcterms:created>
  <dcterms:modified xsi:type="dcterms:W3CDTF">2016-04-05T12:29:00Z</dcterms:modified>
</cp:coreProperties>
</file>